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（参考）小規模市町村地域支援連携協働体制整備事業（令和9年4月1日新設）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r>
        <w:rPr>
          <w:rFonts w:ascii="游ゴシック" w:hAnsi="游ゴシック" w:eastAsia="游ゴシック"/>
          <w:b/>
          <w:i w:val="0"/>
          <w:sz w:val="21"/>
        </w:rPr>
        <w:t>なお、この改正により同法の題名そのものが「医療的ケア児等及び重症心身障害者並びにそれらの家族に対する支援に関する法律」に改められます</w:t>
      </w:r>
      <w:r>
        <w:rPr>
          <w:rFonts w:ascii="游ゴシック" w:hAnsi="游ゴシック" w:eastAsia="游ゴシック"/>
          <w:b w:val="0"/>
          <w:i w:val="0"/>
          <w:sz w:val="21"/>
        </w:rPr>
        <w:t>（現行は「医療的ケア児及びその家族に対する支援に関する法律」）。</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i w:val="0"/>
                <w:sz w:val="17"/>
              </w:rPr>
              <w:t>障害者総合支援法第88条第7項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児童福祉法第33条の20第7項</w:t>
            </w:r>
          </w:p>
        </w:tc>
        <w:tc>
          <w:tcPr>
            <w:tcW w:type="dxa" w:w="3969"/>
            <w:vAlign w:val="center"/>
          </w:tcPr>
          <w:p>
            <w:pPr>
              <w:spacing w:before="20" w:after="20"/>
            </w:pPr>
            <w:r>
              <w:rPr>
                <w:rFonts w:ascii="游ゴシック" w:hAnsi="游ゴシック" w:eastAsia="游ゴシック"/>
                <w:b/>
                <w:i w:val="0"/>
                <w:sz w:val="17"/>
              </w:rPr>
              <w:t>市町村障害者計画（障害者基本法第11条第3項）・市町村地域福祉計画（社会福祉法第107条第1項）その他の計画と調和が保たれたもの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r>
        <w:tc>
          <w:tcPr>
            <w:tcW w:type="dxa" w:w="2268"/>
            <w:vAlign w:val="center"/>
          </w:tcPr>
          <w:p>
            <w:pPr>
              <w:spacing w:before="20" w:after="20"/>
            </w:pPr>
            <w:r>
              <w:rPr>
                <w:rFonts w:ascii="游ゴシック" w:hAnsi="游ゴシック" w:eastAsia="游ゴシック"/>
                <w:b w:val="0"/>
                <w:i w:val="0"/>
                <w:sz w:val="17"/>
              </w:rPr>
              <w:t>障害者総合支援法第88条第6項・児童福祉法第33条の20第6項</w:t>
            </w:r>
          </w:p>
        </w:tc>
        <w:tc>
          <w:tcPr>
            <w:tcW w:type="dxa" w:w="3969"/>
            <w:vAlign w:val="center"/>
          </w:tcPr>
          <w:p>
            <w:pPr>
              <w:spacing w:before="20" w:after="20"/>
            </w:pPr>
            <w:r>
              <w:rPr>
                <w:rFonts w:ascii="游ゴシック" w:hAnsi="游ゴシック" w:eastAsia="游ゴシック"/>
                <w:b w:val="0"/>
                <w:i w:val="0"/>
                <w:sz w:val="17"/>
              </w:rPr>
              <w:t>市町村障害福祉計画と市町村障害児福祉計画を</w:t>
            </w:r>
            <w:r>
              <w:rPr>
                <w:rFonts w:ascii="游ゴシック" w:hAnsi="游ゴシック" w:eastAsia="游ゴシック"/>
                <w:b/>
                <w:i w:val="0"/>
                <w:sz w:val="17"/>
              </w:rPr>
              <w:t>一体のものとして作成することができる</w:t>
            </w:r>
          </w:p>
        </w:tc>
        <w:tc>
          <w:tcPr>
            <w:tcW w:type="dxa" w:w="1361"/>
            <w:vAlign w:val="center"/>
          </w:tcPr>
          <w:p>
            <w:pPr>
              <w:spacing w:before="20" w:after="20"/>
            </w:pPr>
            <w:r>
              <w:rPr>
                <w:rFonts w:ascii="游ゴシック" w:hAnsi="游ゴシック" w:eastAsia="游ゴシック"/>
                <w:b w:val="0"/>
                <w:i w:val="0"/>
                <w:sz w:val="17"/>
              </w:rPr>
              <w:t>できる規定</w:t>
            </w:r>
          </w:p>
        </w:tc>
        <w:tc>
          <w:tcPr>
            <w:tcW w:type="dxa" w:w="2154"/>
            <w:vAlign w:val="center"/>
          </w:tcPr>
          <w:p>
            <w:pPr>
              <w:spacing w:before="20" w:after="20"/>
            </w:pPr>
            <w:r>
              <w:rPr>
                <w:rFonts w:ascii="游ゴシック" w:hAnsi="游ゴシック" w:eastAsia="游ゴシック"/>
                <w:b w:val="0"/>
                <w:i w:val="0"/>
                <w:sz w:val="17"/>
              </w:rPr>
              <w:t>第1部第1章2</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障害者総合支援法第88条第7項及び児童福祉法第33条の20第7項</w:t>
      </w:r>
      <w:r>
        <w:rPr>
          <w:rFonts w:ascii="游ゴシック" w:hAnsi="游ゴシック" w:eastAsia="游ゴシック"/>
          <w:b w:val="0"/>
          <w:i w:val="0"/>
          <w:sz w:val="17"/>
        </w:rPr>
        <w:t>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条項の番号は、現行条文（e-Gov 法令API・令和8年10月19日取得）で確かめました。</w:t>
      </w:r>
      <w:r>
        <w:rPr>
          <w:rFonts w:ascii="游ゴシック" w:hAnsi="游ゴシック" w:eastAsia="游ゴシック"/>
          <w:b w:val="0"/>
          <w:i w:val="0"/>
          <w:sz w:val="17"/>
        </w:rPr>
        <w:t xml:space="preserve"> いずれも全12項で、令和8年法律第51号による項の繰り下がりはありません。</w:t>
      </w:r>
      <w:r>
        <w:rPr>
          <w:rFonts w:ascii="游ゴシック" w:hAnsi="游ゴシック" w:eastAsia="游ゴシック"/>
          <w:b/>
          <w:i w:val="0"/>
          <w:sz w:val="17"/>
        </w:rPr>
        <w:t>第6項は、障害福祉計画と障害児福祉計画を一体のものとして作成することができるとしています。本計画はこれによります。</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6803"/>
            <w:vAlign w:val="center"/>
          </w:tcPr>
          <w:p>
            <w:pPr>
              <w:keepNext/>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keepNext/>
              <w:spacing w:before="20" w:after="20"/>
            </w:pPr>
            <w:r>
              <w:rPr>
                <w:rFonts w:ascii="游ゴシック" w:hAnsi="游ゴシック" w:eastAsia="游ゴシック"/>
                <w:b w:val="0"/>
                <w:i w:val="0"/>
                <w:sz w:val="17"/>
              </w:rPr>
              <w:t>10（判定を行う場）</w:t>
            </w:r>
          </w:p>
        </w:tc>
      </w:tr>
      <w:tr>
        <w:tc>
          <w:tcPr>
            <w:tcW w:type="dxa" w:w="454"/>
            <w:vAlign w:val="center"/>
          </w:tcPr>
          <w:p>
            <w:pPr>
              <w:spacing w:before="20" w:after="20"/>
            </w:pPr>
            <w:r>
              <w:rPr>
                <w:rFonts w:ascii="游ゴシック" w:hAnsi="游ゴシック" w:eastAsia="游ゴシック"/>
                <w:b w:val="0"/>
                <w:i w:val="0"/>
                <w:sz w:val="17"/>
              </w:rPr>
              <w:t>7</w:t>
            </w:r>
          </w:p>
        </w:tc>
        <w:tc>
          <w:tcPr>
            <w:tcW w:type="dxa" w:w="6803"/>
            <w:vAlign w:val="center"/>
          </w:tcPr>
          <w:p>
            <w:pPr>
              <w:spacing w:before="20" w:after="20"/>
            </w:pPr>
            <w:r>
              <w:rPr>
                <w:rFonts w:ascii="游ゴシック" w:hAnsi="游ゴシック" w:eastAsia="游ゴシック"/>
                <w:b/>
                <w:i w:val="0"/>
                <w:sz w:val="17"/>
              </w:rPr>
              <w:t>社会福祉法第106条の3の2の支援会議、住宅セーフティネット法第81条第1項の居住支援協議会、生活困窮者自立支援法第9条第1項の支援会議の設置の有無。</w:t>
            </w:r>
            <w:r>
              <w:rPr>
                <w:rFonts w:ascii="游ゴシック" w:hAnsi="游ゴシック" w:eastAsia="游ゴシック"/>
                <w:b w:val="0"/>
                <w:i w:val="0"/>
                <w:sz w:val="17"/>
              </w:rPr>
              <w:t>改正後の介護保険法第115条の48第5項は、これらとの相互の連携も努力義務としているため、置かれている会議体を一覧にします</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本町の障がい者手帳の所持者数の推移は、次のとおりです。</w:t>
      </w:r>
    </w:p>
    <w:p>
      <w:pPr>
        <w:keepNext/>
        <w:spacing w:before="200" w:after="40"/>
      </w:pPr>
      <w:r>
        <w:rPr>
          <w:rFonts w:ascii="游ゴシック" w:hAnsi="游ゴシック" w:eastAsia="游ゴシック"/>
          <w:b/>
          <w:i w:val="0"/>
          <w:color w:val="1F4D78"/>
          <w:sz w:val="22"/>
        </w:rPr>
        <w:t>【表10】第1部第2章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020"/>
        <w:gridCol w:w="1020"/>
        <w:gridCol w:w="1020"/>
        <w:gridCol w:w="1020"/>
        <w:gridCol w:w="1020"/>
        <w:gridCol w:w="1020"/>
        <w:gridCol w:w="1020"/>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608"/>
            <w:vAlign w:val="center"/>
          </w:tcPr>
          <w:p>
            <w:pPr>
              <w:spacing w:before="20" w:after="20"/>
            </w:pPr>
            <w:r>
              <w:rPr>
                <w:rFonts w:ascii="游ゴシック" w:hAnsi="游ゴシック" w:eastAsia="游ゴシック"/>
                <w:b w:val="0"/>
                <w:i w:val="0"/>
                <w:sz w:val="17"/>
              </w:rPr>
              <w:t>身体障害者手帳</w:t>
            </w:r>
          </w:p>
        </w:tc>
        <w:tc>
          <w:tcPr>
            <w:tcW w:type="dxa" w:w="1020"/>
            <w:vAlign w:val="center"/>
          </w:tcPr>
          <w:p>
            <w:pPr>
              <w:spacing w:before="20" w:after="20"/>
              <w:jc w:val="right"/>
            </w:pPr>
            <w:r>
              <w:rPr>
                <w:rFonts w:ascii="游ゴシック" w:hAnsi="游ゴシック" w:eastAsia="游ゴシック"/>
                <w:b w:val="0"/>
                <w:i w:val="0"/>
                <w:sz w:val="17"/>
              </w:rPr>
              <w:t>452人</w:t>
            </w:r>
          </w:p>
        </w:tc>
        <w:tc>
          <w:tcPr>
            <w:tcW w:type="dxa" w:w="1020"/>
            <w:vAlign w:val="center"/>
          </w:tcPr>
          <w:p>
            <w:pPr>
              <w:spacing w:before="20" w:after="20"/>
              <w:jc w:val="right"/>
            </w:pPr>
            <w:r>
              <w:rPr>
                <w:rFonts w:ascii="游ゴシック" w:hAnsi="游ゴシック" w:eastAsia="游ゴシック"/>
                <w:b w:val="0"/>
                <w:i w:val="0"/>
                <w:sz w:val="17"/>
              </w:rPr>
              <w:t>448人</w:t>
            </w:r>
          </w:p>
        </w:tc>
        <w:tc>
          <w:tcPr>
            <w:tcW w:type="dxa" w:w="1020"/>
            <w:vAlign w:val="center"/>
          </w:tcPr>
          <w:p>
            <w:pPr>
              <w:spacing w:before="20" w:after="20"/>
              <w:jc w:val="right"/>
            </w:pPr>
            <w:r>
              <w:rPr>
                <w:rFonts w:ascii="游ゴシック" w:hAnsi="游ゴシック" w:eastAsia="游ゴシック"/>
                <w:b w:val="0"/>
                <w:i w:val="0"/>
                <w:sz w:val="17"/>
              </w:rPr>
              <w:t>438人</w:t>
            </w:r>
          </w:p>
        </w:tc>
        <w:tc>
          <w:tcPr>
            <w:tcW w:type="dxa" w:w="1020"/>
            <w:vAlign w:val="center"/>
          </w:tcPr>
          <w:p>
            <w:pPr>
              <w:spacing w:before="20" w:after="20"/>
              <w:jc w:val="right"/>
            </w:pPr>
            <w:r>
              <w:rPr>
                <w:rFonts w:ascii="游ゴシック" w:hAnsi="游ゴシック" w:eastAsia="游ゴシック"/>
                <w:b w:val="0"/>
                <w:i w:val="0"/>
                <w:sz w:val="17"/>
              </w:rPr>
              <w:t>431人</w:t>
            </w:r>
          </w:p>
        </w:tc>
        <w:tc>
          <w:tcPr>
            <w:tcW w:type="dxa" w:w="1020"/>
            <w:vAlign w:val="center"/>
          </w:tcPr>
          <w:p>
            <w:pPr>
              <w:spacing w:before="20" w:after="20"/>
              <w:jc w:val="right"/>
            </w:pPr>
            <w:r>
              <w:rPr>
                <w:rFonts w:ascii="游ゴシック" w:hAnsi="游ゴシック" w:eastAsia="游ゴシック"/>
                <w:b w:val="0"/>
                <w:i w:val="0"/>
                <w:sz w:val="17"/>
              </w:rPr>
              <w:t>412人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372人</w:t>
            </w:r>
          </w:p>
        </w:tc>
      </w:tr>
      <w:tr>
        <w:tc>
          <w:tcPr>
            <w:tcW w:type="dxa" w:w="2608"/>
            <w:vAlign w:val="center"/>
          </w:tcPr>
          <w:p>
            <w:pPr>
              <w:spacing w:before="20" w:after="20"/>
            </w:pPr>
            <w:r>
              <w:rPr>
                <w:rFonts w:ascii="游ゴシック" w:hAnsi="游ゴシック" w:eastAsia="游ゴシック"/>
                <w:b w:val="0"/>
                <w:i w:val="0"/>
                <w:sz w:val="17"/>
              </w:rPr>
              <w:t>療育手帳</w:t>
            </w:r>
          </w:p>
        </w:tc>
        <w:tc>
          <w:tcPr>
            <w:tcW w:type="dxa" w:w="1020"/>
            <w:vAlign w:val="center"/>
          </w:tcPr>
          <w:p>
            <w:pPr>
              <w:spacing w:before="20" w:after="20"/>
              <w:jc w:val="right"/>
            </w:pPr>
            <w:r>
              <w:rPr>
                <w:rFonts w:ascii="游ゴシック" w:hAnsi="游ゴシック" w:eastAsia="游ゴシック"/>
                <w:b w:val="0"/>
                <w:i w:val="0"/>
                <w:sz w:val="17"/>
              </w:rPr>
              <w:t>77人</w:t>
            </w:r>
          </w:p>
        </w:tc>
        <w:tc>
          <w:tcPr>
            <w:tcW w:type="dxa" w:w="1020"/>
            <w:vAlign w:val="center"/>
          </w:tcPr>
          <w:p>
            <w:pPr>
              <w:spacing w:before="20" w:after="20"/>
              <w:jc w:val="right"/>
            </w:pPr>
            <w:r>
              <w:rPr>
                <w:rFonts w:ascii="游ゴシック" w:hAnsi="游ゴシック" w:eastAsia="游ゴシック"/>
                <w:b w:val="0"/>
                <w:i w:val="0"/>
                <w:sz w:val="17"/>
              </w:rPr>
              <w:t>80人</w:t>
            </w:r>
          </w:p>
        </w:tc>
        <w:tc>
          <w:tcPr>
            <w:tcW w:type="dxa" w:w="1020"/>
            <w:vAlign w:val="center"/>
          </w:tcPr>
          <w:p>
            <w:pPr>
              <w:spacing w:before="20" w:after="20"/>
              <w:jc w:val="right"/>
            </w:pPr>
            <w:r>
              <w:rPr>
                <w:rFonts w:ascii="游ゴシック" w:hAnsi="游ゴシック" w:eastAsia="游ゴシック"/>
                <w:b w:val="0"/>
                <w:i w:val="0"/>
                <w:sz w:val="17"/>
              </w:rPr>
              <w:t>79人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74人</w:t>
            </w:r>
          </w:p>
        </w:tc>
      </w:tr>
      <w:tr>
        <w:tc>
          <w:tcPr>
            <w:tcW w:type="dxa" w:w="2608"/>
            <w:vAlign w:val="center"/>
          </w:tcPr>
          <w:p>
            <w:pPr>
              <w:keepNext/>
              <w:spacing w:before="20" w:after="20"/>
            </w:pPr>
            <w:r>
              <w:rPr>
                <w:rFonts w:ascii="游ゴシック" w:hAnsi="游ゴシック" w:eastAsia="游ゴシック"/>
                <w:b w:val="0"/>
                <w:i w:val="0"/>
                <w:sz w:val="17"/>
              </w:rPr>
              <w:t>精神障害者保健福祉手帳</w:t>
            </w:r>
          </w:p>
        </w:tc>
        <w:tc>
          <w:tcPr>
            <w:tcW w:type="dxa" w:w="1020"/>
            <w:vAlign w:val="center"/>
          </w:tcPr>
          <w:p>
            <w:pPr>
              <w:keepNext/>
              <w:spacing w:before="20" w:after="20"/>
              <w:jc w:val="right"/>
            </w:pPr>
            <w:r>
              <w:rPr>
                <w:rFonts w:ascii="游ゴシック" w:hAnsi="游ゴシック" w:eastAsia="游ゴシック"/>
                <w:b w:val="0"/>
                <w:i w:val="0"/>
                <w:sz w:val="17"/>
              </w:rPr>
              <w:t>49人</w:t>
            </w:r>
          </w:p>
        </w:tc>
        <w:tc>
          <w:tcPr>
            <w:tcW w:type="dxa" w:w="1020"/>
            <w:vAlign w:val="center"/>
          </w:tcPr>
          <w:p>
            <w:pPr>
              <w:keepNext/>
              <w:spacing w:before="20" w:after="20"/>
              <w:jc w:val="right"/>
            </w:pPr>
            <w:r>
              <w:rPr>
                <w:rFonts w:ascii="游ゴシック" w:hAnsi="游ゴシック" w:eastAsia="游ゴシック"/>
                <w:b w:val="0"/>
                <w:i w:val="0"/>
                <w:sz w:val="17"/>
              </w:rPr>
              <w:t>42人</w:t>
            </w:r>
          </w:p>
        </w:tc>
        <w:tc>
          <w:tcPr>
            <w:tcW w:type="dxa" w:w="1020"/>
            <w:vAlign w:val="center"/>
          </w:tcPr>
          <w:p>
            <w:pPr>
              <w:keepNext/>
              <w:spacing w:before="20" w:after="20"/>
              <w:jc w:val="right"/>
            </w:pPr>
            <w:r>
              <w:rPr>
                <w:rFonts w:ascii="游ゴシック" w:hAnsi="游ゴシック" w:eastAsia="游ゴシック"/>
                <w:b w:val="0"/>
                <w:i w:val="0"/>
                <w:sz w:val="17"/>
              </w:rPr>
              <w:t>40人</w:t>
            </w:r>
          </w:p>
        </w:tc>
        <w:tc>
          <w:tcPr>
            <w:tcW w:type="dxa" w:w="1020"/>
            <w:vAlign w:val="center"/>
          </w:tcPr>
          <w:p>
            <w:pPr>
              <w:keepNext/>
              <w:spacing w:before="20" w:after="20"/>
              <w:jc w:val="right"/>
            </w:pPr>
            <w:r>
              <w:rPr>
                <w:rFonts w:ascii="游ゴシック" w:hAnsi="游ゴシック" w:eastAsia="游ゴシック"/>
                <w:b w:val="0"/>
                <w:i w:val="0"/>
                <w:sz w:val="17"/>
              </w:rPr>
              <w:t>44人</w:t>
            </w:r>
          </w:p>
        </w:tc>
        <w:tc>
          <w:tcPr>
            <w:tcW w:type="dxa" w:w="1020"/>
            <w:vAlign w:val="center"/>
          </w:tcPr>
          <w:p>
            <w:pPr>
              <w:keepNext/>
              <w:spacing w:before="20" w:after="20"/>
              <w:jc w:val="right"/>
            </w:pPr>
            <w:r>
              <w:rPr>
                <w:rFonts w:ascii="游ゴシック" w:hAnsi="游ゴシック" w:eastAsia="游ゴシック"/>
                <w:b w:val="0"/>
                <w:i w:val="0"/>
                <w:sz w:val="17"/>
              </w:rPr>
              <w:t>45人</w:t>
            </w:r>
          </w:p>
        </w:tc>
        <w:tc>
          <w:tcPr>
            <w:tcW w:type="dxa" w:w="1020"/>
            <w:vAlign w:val="center"/>
          </w:tcPr>
          <w:p>
            <w:pPr>
              <w:keepNext/>
              <w:spacing w:before="20" w:after="20"/>
              <w:jc w:val="right"/>
            </w:pPr>
            <w:r>
              <w:rPr>
                <w:rFonts w:ascii="游ゴシック" w:hAnsi="游ゴシック" w:eastAsia="游ゴシック"/>
                <w:b w:val="0"/>
                <w:i w:val="0"/>
                <w:sz w:val="17"/>
              </w:rPr>
              <w:t>―</w:t>
            </w:r>
          </w:p>
        </w:tc>
        <w:tc>
          <w:tcPr>
            <w:tcW w:type="dxa" w:w="1020"/>
            <w:vAlign w:val="center"/>
          </w:tcPr>
          <w:p>
            <w:pPr>
              <w:keepNext/>
              <w:spacing w:before="20" w:after="20"/>
              <w:jc w:val="right"/>
            </w:pPr>
            <w:r>
              <w:rPr>
                <w:rFonts w:ascii="游ゴシック" w:hAnsi="游ゴシック" w:eastAsia="游ゴシック"/>
                <w:b w:val="0"/>
                <w:i w:val="0"/>
                <w:sz w:val="17"/>
              </w:rPr>
              <w:t>62人</w:t>
            </w:r>
          </w:p>
        </w:tc>
      </w:tr>
      <w:tr>
        <w:tc>
          <w:tcPr>
            <w:tcW w:type="dxa" w:w="2608"/>
            <w:vAlign w:val="center"/>
          </w:tcPr>
          <w:p>
            <w:pPr>
              <w:spacing w:before="20" w:after="20"/>
            </w:pPr>
            <w:r>
              <w:rPr>
                <w:rFonts w:ascii="游ゴシック" w:hAnsi="游ゴシック" w:eastAsia="游ゴシック"/>
                <w:b/>
                <w:i w:val="0"/>
                <w:sz w:val="17"/>
              </w:rPr>
              <w:t>合計</w:t>
            </w:r>
          </w:p>
        </w:tc>
        <w:tc>
          <w:tcPr>
            <w:tcW w:type="dxa" w:w="1020"/>
            <w:vAlign w:val="center"/>
          </w:tcPr>
          <w:p>
            <w:pPr>
              <w:spacing w:before="20" w:after="20"/>
              <w:jc w:val="right"/>
            </w:pPr>
            <w:r>
              <w:rPr>
                <w:rFonts w:ascii="游ゴシック" w:hAnsi="游ゴシック" w:eastAsia="游ゴシック"/>
                <w:b/>
                <w:i w:val="0"/>
                <w:sz w:val="17"/>
              </w:rPr>
              <w:t>578人</w:t>
            </w:r>
          </w:p>
        </w:tc>
        <w:tc>
          <w:tcPr>
            <w:tcW w:type="dxa" w:w="1020"/>
            <w:vAlign w:val="center"/>
          </w:tcPr>
          <w:p>
            <w:pPr>
              <w:spacing w:before="20" w:after="20"/>
              <w:jc w:val="right"/>
            </w:pPr>
            <w:r>
              <w:rPr>
                <w:rFonts w:ascii="游ゴシック" w:hAnsi="游ゴシック" w:eastAsia="游ゴシック"/>
                <w:b/>
                <w:i w:val="0"/>
                <w:sz w:val="17"/>
              </w:rPr>
              <w:t>570人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539人</w:t>
            </w:r>
          </w:p>
        </w:tc>
        <w:tc>
          <w:tcPr>
            <w:tcW w:type="dxa" w:w="1020"/>
            <w:vAlign w:val="center"/>
          </w:tcPr>
          <w:p>
            <w:pPr>
              <w:spacing w:before="20" w:after="20"/>
              <w:jc w:val="right"/>
            </w:pPr>
            <w:r>
              <w:rPr>
                <w:rFonts w:ascii="游ゴシック" w:hAnsi="游ゴシック" w:eastAsia="游ゴシック"/>
                <w:b/>
                <w:i w:val="0"/>
                <w:sz w:val="17"/>
              </w:rPr>
              <w:t>―</w:t>
            </w:r>
          </w:p>
        </w:tc>
        <w:tc>
          <w:tcPr>
            <w:tcW w:type="dxa" w:w="1020"/>
            <w:vAlign w:val="center"/>
          </w:tcPr>
          <w:p>
            <w:pPr>
              <w:spacing w:before="20" w:after="20"/>
              <w:jc w:val="right"/>
            </w:pPr>
            <w:r>
              <w:rPr>
                <w:rFonts w:ascii="游ゴシック" w:hAnsi="游ゴシック" w:eastAsia="游ゴシック"/>
                <w:b/>
                <w:i w:val="0"/>
                <w:sz w:val="17"/>
              </w:rPr>
              <w:t>508人</w:t>
            </w:r>
          </w:p>
        </w:tc>
      </w:tr>
    </w:tbl>
    <w:p>
      <w:pPr>
        <w:spacing w:after="40"/>
      </w:pPr>
    </w:p>
    <w:p>
      <w:pPr>
        <w:keepNext/>
        <w:spacing w:before="200" w:after="40"/>
      </w:pPr>
      <w:r>
        <w:rPr>
          <w:rFonts w:ascii="游ゴシック" w:hAnsi="游ゴシック" w:eastAsia="游ゴシック"/>
          <w:b/>
          <w:i w:val="0"/>
          <w:color w:val="1F4D78"/>
          <w:sz w:val="22"/>
        </w:rPr>
        <w:t>【図1】第1部第2章2　障がい者手帳所持者数の推移</w:t>
      </w:r>
    </w:p>
    <w:p>
      <w:pPr>
        <w:keepNext/>
        <w:spacing w:before="0" w:after="40"/>
        <w:jc w:val="center"/>
      </w:pPr>
      <w:r>
        <w:drawing>
          <wp:inline xmlns:a="http://schemas.openxmlformats.org/drawingml/2006/main" xmlns:pic="http://schemas.openxmlformats.org/drawingml/2006/picture">
            <wp:extent cx="5400000" cy="2157922"/>
            <wp:docPr id="1" name="Picture 1"/>
            <wp:cNvGraphicFramePr>
              <a:graphicFrameLocks noChangeAspect="1"/>
            </wp:cNvGraphicFramePr>
            <a:graphic>
              <a:graphicData uri="http://schemas.openxmlformats.org/drawingml/2006/picture">
                <pic:pic>
                  <pic:nvPicPr>
                    <pic:cNvPr id="0" name="f61_techo.png"/>
                    <pic:cNvPicPr/>
                  </pic:nvPicPr>
                  <pic:blipFill>
                    <a:blip r:embed="rId13"/>
                    <a:stretch>
                      <a:fillRect/>
                    </a:stretch>
                  </pic:blipFill>
                  <pic:spPr>
                    <a:xfrm>
                      <a:off x="0" y="0"/>
                      <a:ext cx="5400000" cy="2157922"/>
                    </a:xfrm>
                    <a:prstGeom prst="rect"/>
                  </pic:spPr>
                </pic:pic>
              </a:graphicData>
            </a:graphic>
          </wp:inline>
        </w:drawing>
      </w:r>
    </w:p>
    <w:p>
      <w:pPr>
        <w:spacing w:before="40" w:after="160"/>
        <w:ind w:left="113"/>
      </w:pPr>
      <w:r>
        <w:rPr>
          <w:rFonts w:ascii="游ゴシック" w:hAnsi="游ゴシック" w:eastAsia="游ゴシック"/>
          <w:b w:val="0"/>
          <w:i w:val="0"/>
          <w:sz w:val="17"/>
        </w:rPr>
        <w:t>資料：令和元年〜令和5年はおのまち障がい者基本計画（令和6年3月）、令和7年は町からの受領値（各年4月1日現在・健康福祉課）。</w:t>
      </w:r>
      <w:r>
        <w:rPr>
          <w:rFonts w:ascii="游ゴシック" w:hAnsi="游ゴシック" w:eastAsia="游ゴシック"/>
          <w:b/>
          <w:i w:val="0"/>
          <w:sz w:val="17"/>
        </w:rPr>
        <w:t>右の図の点線は、令和6年を受領していないことを示す。</w:t>
      </w:r>
      <w:r>
        <w:rPr>
          <w:rFonts w:ascii="游ゴシック" w:hAnsi="游ゴシック" w:eastAsia="游ゴシック"/>
          <w:b w:val="0"/>
          <w:i w:val="0"/>
          <w:sz w:val="17"/>
        </w:rPr>
        <w:t>点線の区間は推計ではない</w:t>
      </w:r>
    </w:p>
    <w:p>
      <w:pPr>
        <w:spacing w:after="120"/>
      </w:pPr>
    </w:p>
    <w:p>
      <w:pPr>
        <w:spacing w:before="40" w:after="160"/>
        <w:ind w:left="113"/>
      </w:pPr>
      <w:r>
        <w:rPr>
          <w:rFonts w:ascii="游ゴシック" w:hAnsi="游ゴシック" w:eastAsia="游ゴシック"/>
          <w:b w:val="0"/>
          <w:i w:val="0"/>
          <w:sz w:val="17"/>
        </w:rPr>
        <w:t>資料：令和元年〜令和5年は</w:t>
      </w:r>
      <w:r>
        <w:rPr>
          <w:rFonts w:ascii="游ゴシック" w:hAnsi="游ゴシック" w:eastAsia="游ゴシック"/>
          <w:b/>
          <w:i w:val="0"/>
          <w:sz w:val="17"/>
        </w:rPr>
        <w:t>おのまち障がい者基本計画・第7期障がい福祉計画・第3期障がい児福祉計画（令和6年3月）</w:t>
      </w:r>
      <w:r>
        <w:rPr>
          <w:rFonts w:ascii="游ゴシック" w:hAnsi="游ゴシック" w:eastAsia="游ゴシック"/>
          <w:b w:val="0"/>
          <w:i w:val="0"/>
          <w:sz w:val="17"/>
        </w:rPr>
        <w:t>、令和7年は町からの受領値。いずれも</w:t>
      </w:r>
      <w:r>
        <w:rPr>
          <w:rFonts w:ascii="游ゴシック" w:hAnsi="游ゴシック" w:eastAsia="游ゴシック"/>
          <w:b/>
          <w:i w:val="0"/>
          <w:sz w:val="17"/>
        </w:rPr>
        <w:t>各年4月1日現在・健康福祉課</w:t>
      </w:r>
      <w:r>
        <w:rPr>
          <w:rFonts w:ascii="游ゴシック" w:hAnsi="游ゴシック" w:eastAsia="游ゴシック"/>
          <w:b w:val="0"/>
          <w:i w:val="0"/>
          <w:sz w:val="17"/>
        </w:rPr>
        <w:t>。</w:t>
      </w:r>
      <w:r>
        <w:rPr>
          <w:rFonts w:ascii="游ゴシック" w:hAnsi="游ゴシック" w:eastAsia="游ゴシック"/>
          <w:b/>
          <w:i w:val="0"/>
          <w:sz w:val="17"/>
        </w:rPr>
        <w:t>※ 令和6年は手元にありません（【町データ待ち】）。</w:t>
      </w:r>
      <w:r>
        <w:rPr>
          <w:rFonts w:ascii="游ゴシック" w:hAnsi="游ゴシック" w:eastAsia="游ゴシック"/>
          <w:b w:val="0"/>
          <w:i w:val="0"/>
          <w:sz w:val="17"/>
        </w:rPr>
        <w:t>推計で埋めず、空欄のままとしています。</w:t>
      </w:r>
    </w:p>
    <w:p>
      <w:pPr>
        <w:spacing w:after="120"/>
      </w:pPr>
    </w:p>
    <w:p>
      <w:pPr>
        <w:spacing w:before="60" w:after="60"/>
      </w:pPr>
      <w:r>
        <w:rPr>
          <w:rFonts w:ascii="游ゴシック" w:hAnsi="游ゴシック" w:eastAsia="游ゴシック"/>
          <w:b/>
          <w:i w:val="0"/>
          <w:sz w:val="21"/>
        </w:rPr>
        <w:t>全体では、令和元年の578人から令和7年の508人へ、6年間で70人（12.1％）減っています。</w:t>
      </w:r>
      <w:r>
        <w:rPr>
          <w:rFonts w:ascii="游ゴシック" w:hAnsi="游ゴシック" w:eastAsia="游ゴシック"/>
          <w:b/>
          <w:i w:val="0"/>
          <w:sz w:val="21"/>
        </w:rPr>
        <w:t>ただし、手帳の種類によって動きが逆です。</w:t>
      </w:r>
    </w:p>
    <w:p>
      <w:pPr>
        <w:spacing w:before="60" w:after="60"/>
      </w:pPr>
      <w:r>
        <w:rPr>
          <w:rFonts w:ascii="游ゴシック" w:hAnsi="游ゴシック" w:eastAsia="游ゴシック"/>
          <w:b/>
          <w:i w:val="0"/>
          <w:sz w:val="21"/>
        </w:rPr>
        <w:t>身体障害者手帳は452人から372人へ80人（17.7％）減り、減少のほとんどを占めます。</w:t>
      </w:r>
      <w:r>
        <w:rPr>
          <w:rFonts w:ascii="游ゴシック" w:hAnsi="游ゴシック" w:eastAsia="游ゴシック"/>
          <w:b w:val="0"/>
          <w:i w:val="0"/>
          <w:sz w:val="21"/>
        </w:rPr>
        <w:t>療育手帳は77人から74人へ、ほぼ横ばいです。</w:t>
      </w:r>
      <w:r>
        <w:rPr>
          <w:rFonts w:ascii="游ゴシック" w:hAnsi="游ゴシック" w:eastAsia="游ゴシック"/>
          <w:b/>
          <w:i w:val="0"/>
          <w:sz w:val="21"/>
        </w:rPr>
        <w:t>一方、精神障害者保健福祉手帳は49人から62人へ13人（26.5％）増えています。</w:t>
      </w:r>
      <w:r>
        <w:rPr>
          <w:rFonts w:ascii="游ゴシック" w:hAnsi="游ゴシック" w:eastAsia="游ゴシック"/>
          <w:b w:val="0"/>
          <w:i w:val="0"/>
          <w:sz w:val="21"/>
        </w:rPr>
        <w:t>とくに令和5年の45人から令和7年の62人への増え方（37.8％）が大きくなっています。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r>
        <w:rPr>
          <w:rFonts w:ascii="游ゴシック" w:hAnsi="游ゴシック" w:eastAsia="游ゴシック"/>
          <w:b/>
          <w:i w:val="0"/>
          <w:sz w:val="17"/>
        </w:rPr>
        <w:t>前回計画は当該分野に数値目標を置いていませんでした。</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医療的ケア児等については、18歳以上の医療的ケア児等・重症心身障害者を含めて把握します。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i w:val="0"/>
          <w:sz w:val="21"/>
        </w:rPr>
        <w:t>現行計画（第7期）の実績は令和8年度末まで確定しません。</w:t>
      </w:r>
      <w:r>
        <w:rPr>
          <w:rFonts w:ascii="游ゴシック" w:hAnsi="游ゴシック" w:eastAsia="游ゴシック"/>
          <w:b w:val="0"/>
          <w:i w:val="0"/>
          <w:sz w:val="21"/>
        </w:rPr>
        <w:t>ここでは、</w:t>
      </w:r>
      <w:r>
        <w:rPr>
          <w:rFonts w:ascii="游ゴシック" w:hAnsi="游ゴシック" w:eastAsia="游ゴシック"/>
          <w:b/>
          <w:i w:val="0"/>
          <w:sz w:val="21"/>
        </w:rPr>
        <w:t>前回計画が載せている第6期（令和3〜5年度）の見込量と実績</w:t>
      </w:r>
      <w:r>
        <w:rPr>
          <w:rFonts w:ascii="游ゴシック" w:hAnsi="游ゴシック" w:eastAsia="游ゴシック"/>
          <w:b w:val="0"/>
          <w:i w:val="0"/>
          <w:sz w:val="21"/>
        </w:rPr>
        <w:t>を整理します。</w:t>
      </w:r>
      <w:r>
        <w:rPr>
          <w:rFonts w:ascii="游ゴシック" w:hAnsi="游ゴシック" w:eastAsia="游ゴシック"/>
          <w:b/>
          <w:i w:val="0"/>
          <w:sz w:val="21"/>
        </w:rPr>
        <w:t>見込量の置き方の癖を読み取るためです。</w:t>
      </w:r>
    </w:p>
    <w:p>
      <w:pPr>
        <w:keepNext/>
        <w:spacing w:before="200" w:after="40"/>
      </w:pPr>
      <w:r>
        <w:rPr>
          <w:rFonts w:ascii="游ゴシック" w:hAnsi="游ゴシック" w:eastAsia="游ゴシック"/>
          <w:b/>
          <w:i w:val="0"/>
          <w:color w:val="1F4D78"/>
          <w:sz w:val="22"/>
        </w:rPr>
        <w:t>【表11】第1部第3章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907"/>
        <w:gridCol w:w="1587"/>
        <w:gridCol w:w="1587"/>
        <w:gridCol w:w="1587"/>
        <w:gridCol w:w="147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令和3年度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6→7（117％）</w:t>
            </w:r>
          </w:p>
        </w:tc>
        <w:tc>
          <w:tcPr>
            <w:tcW w:type="dxa" w:w="1587"/>
            <w:vAlign w:val="center"/>
          </w:tcPr>
          <w:p>
            <w:pPr>
              <w:spacing w:before="20" w:after="20"/>
              <w:jc w:val="right"/>
            </w:pPr>
            <w:r>
              <w:rPr>
                <w:rFonts w:ascii="游ゴシック" w:hAnsi="游ゴシック" w:eastAsia="游ゴシック"/>
                <w:b w:val="0"/>
                <w:i w:val="0"/>
                <w:sz w:val="17"/>
              </w:rPr>
              <w:t>6→4（67％）</w:t>
            </w:r>
          </w:p>
        </w:tc>
        <w:tc>
          <w:tcPr>
            <w:tcW w:type="dxa" w:w="1587"/>
            <w:vAlign w:val="center"/>
          </w:tcPr>
          <w:p>
            <w:pPr>
              <w:spacing w:before="20" w:after="20"/>
              <w:jc w:val="right"/>
            </w:pPr>
            <w:r>
              <w:rPr>
                <w:rFonts w:ascii="游ゴシック" w:hAnsi="游ゴシック" w:eastAsia="游ゴシック"/>
                <w:b w:val="0"/>
                <w:i w:val="0"/>
                <w:sz w:val="17"/>
              </w:rPr>
              <w:t>6→6（100％）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50→28（56％）</w:t>
            </w:r>
          </w:p>
        </w:tc>
        <w:tc>
          <w:tcPr>
            <w:tcW w:type="dxa" w:w="1587"/>
            <w:vAlign w:val="center"/>
          </w:tcPr>
          <w:p>
            <w:pPr>
              <w:spacing w:before="20" w:after="20"/>
              <w:jc w:val="right"/>
            </w:pPr>
            <w:r>
              <w:rPr>
                <w:rFonts w:ascii="游ゴシック" w:hAnsi="游ゴシック" w:eastAsia="游ゴシック"/>
                <w:b w:val="0"/>
                <w:i w:val="0"/>
                <w:sz w:val="17"/>
              </w:rPr>
              <w:t>50→20（40％）</w:t>
            </w:r>
          </w:p>
        </w:tc>
        <w:tc>
          <w:tcPr>
            <w:tcW w:type="dxa" w:w="1587"/>
            <w:vAlign w:val="center"/>
          </w:tcPr>
          <w:p>
            <w:pPr>
              <w:spacing w:before="20" w:after="20"/>
              <w:jc w:val="right"/>
            </w:pPr>
            <w:r>
              <w:rPr>
                <w:rFonts w:ascii="游ゴシック" w:hAnsi="游ゴシック" w:eastAsia="游ゴシック"/>
                <w:b w:val="0"/>
                <w:i w:val="0"/>
                <w:sz w:val="17"/>
              </w:rPr>
              <w:t>50→24（48％）</w:t>
            </w:r>
          </w:p>
        </w:tc>
        <w:tc>
          <w:tcPr>
            <w:tcW w:type="dxa" w:w="1474"/>
            <w:vAlign w:val="center"/>
          </w:tcPr>
          <w:p>
            <w:pPr>
              <w:spacing w:before="20" w:after="20"/>
              <w:jc w:val="right"/>
            </w:pPr>
            <w:r>
              <w:rPr>
                <w:rFonts w:ascii="游ゴシック" w:hAnsi="游ゴシック" w:eastAsia="游ゴシック"/>
                <w:b w:val="0"/>
                <w:i w:val="0"/>
                <w:sz w:val="17"/>
              </w:rPr>
              <w:t>4</w:t>
            </w:r>
          </w:p>
        </w:tc>
      </w:tr>
      <w:tr>
        <w:tc>
          <w:tcPr>
            <w:tcW w:type="dxa" w:w="2608"/>
            <w:vAlign w:val="center"/>
          </w:tcPr>
          <w:p>
            <w:pPr>
              <w:spacing w:before="20" w:after="20"/>
            </w:pPr>
            <w:r>
              <w:rPr>
                <w:rFonts w:ascii="游ゴシック" w:hAnsi="游ゴシック" w:eastAsia="游ゴシック"/>
                <w:b w:val="0"/>
                <w:i w:val="0"/>
                <w:sz w:val="17"/>
              </w:rPr>
              <w:t>共同生活援助</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12→12（100％）</w:t>
            </w:r>
          </w:p>
        </w:tc>
        <w:tc>
          <w:tcPr>
            <w:tcW w:type="dxa" w:w="1587"/>
            <w:vAlign w:val="center"/>
          </w:tcPr>
          <w:p>
            <w:pPr>
              <w:spacing w:before="20" w:after="20"/>
              <w:jc w:val="right"/>
            </w:pPr>
            <w:r>
              <w:rPr>
                <w:rFonts w:ascii="游ゴシック" w:hAnsi="游ゴシック" w:eastAsia="游ゴシック"/>
                <w:b w:val="0"/>
                <w:i w:val="0"/>
                <w:sz w:val="17"/>
              </w:rPr>
              <w:t>12→13（108％）</w:t>
            </w:r>
          </w:p>
        </w:tc>
        <w:tc>
          <w:tcPr>
            <w:tcW w:type="dxa" w:w="1587"/>
            <w:vAlign w:val="center"/>
          </w:tcPr>
          <w:p>
            <w:pPr>
              <w:spacing w:before="20" w:after="20"/>
              <w:jc w:val="right"/>
            </w:pPr>
            <w:r>
              <w:rPr>
                <w:rFonts w:ascii="游ゴシック" w:hAnsi="游ゴシック" w:eastAsia="游ゴシック"/>
                <w:b w:val="0"/>
                <w:i w:val="0"/>
                <w:sz w:val="17"/>
              </w:rPr>
              <w:t>12→14（117％）</w:t>
            </w:r>
          </w:p>
        </w:tc>
        <w:tc>
          <w:tcPr>
            <w:tcW w:type="dxa" w:w="1474"/>
            <w:vAlign w:val="center"/>
          </w:tcPr>
          <w:p>
            <w:pPr>
              <w:spacing w:before="20" w:after="20"/>
              <w:jc w:val="right"/>
            </w:pPr>
            <w:r>
              <w:rPr>
                <w:rFonts w:ascii="游ゴシック" w:hAnsi="游ゴシック" w:eastAsia="游ゴシック"/>
                <w:b w:val="0"/>
                <w:i w:val="0"/>
                <w:sz w:val="17"/>
              </w:rPr>
              <w:t>14</w:t>
            </w:r>
          </w:p>
        </w:tc>
      </w:tr>
      <w:tr>
        <w:tc>
          <w:tcPr>
            <w:tcW w:type="dxa" w:w="2608"/>
            <w:vAlign w:val="center"/>
          </w:tcPr>
          <w:p>
            <w:pPr>
              <w:spacing w:before="20" w:after="20"/>
            </w:pPr>
            <w:r>
              <w:rPr>
                <w:rFonts w:ascii="游ゴシック" w:hAnsi="游ゴシック" w:eastAsia="游ゴシック"/>
                <w:b w:val="0"/>
                <w:i w:val="0"/>
                <w:sz w:val="17"/>
              </w:rPr>
              <w:t>就労定着支援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1→2（200％）</w:t>
            </w:r>
          </w:p>
        </w:tc>
        <w:tc>
          <w:tcPr>
            <w:tcW w:type="dxa" w:w="1587"/>
            <w:vAlign w:val="center"/>
          </w:tcPr>
          <w:p>
            <w:pPr>
              <w:spacing w:before="20" w:after="20"/>
              <w:jc w:val="right"/>
            </w:pPr>
            <w:r>
              <w:rPr>
                <w:rFonts w:ascii="游ゴシック" w:hAnsi="游ゴシック" w:eastAsia="游ゴシック"/>
                <w:b w:val="0"/>
                <w:i w:val="0"/>
                <w:sz w:val="17"/>
              </w:rPr>
              <w:t>1→3（300％）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22→11（50％）</w:t>
            </w:r>
          </w:p>
        </w:tc>
        <w:tc>
          <w:tcPr>
            <w:tcW w:type="dxa" w:w="1587"/>
            <w:vAlign w:val="center"/>
          </w:tcPr>
          <w:p>
            <w:pPr>
              <w:spacing w:before="20" w:after="20"/>
              <w:jc w:val="right"/>
            </w:pPr>
            <w:r>
              <w:rPr>
                <w:rFonts w:ascii="游ゴシック" w:hAnsi="游ゴシック" w:eastAsia="游ゴシック"/>
                <w:b w:val="0"/>
                <w:i w:val="0"/>
                <w:sz w:val="17"/>
              </w:rPr>
              <w:t>22→28（127％）</w:t>
            </w:r>
          </w:p>
        </w:tc>
        <w:tc>
          <w:tcPr>
            <w:tcW w:type="dxa" w:w="1587"/>
            <w:vAlign w:val="center"/>
          </w:tcPr>
          <w:p>
            <w:pPr>
              <w:spacing w:before="20" w:after="20"/>
              <w:jc w:val="right"/>
            </w:pPr>
            <w:r>
              <w:rPr>
                <w:rFonts w:ascii="游ゴシック" w:hAnsi="游ゴシック" w:eastAsia="游ゴシック"/>
                <w:b w:val="0"/>
                <w:i w:val="0"/>
                <w:sz w:val="17"/>
              </w:rPr>
              <w:t>22→54（245％）</w:t>
            </w:r>
          </w:p>
        </w:tc>
        <w:tc>
          <w:tcPr>
            <w:tcW w:type="dxa" w:w="1474"/>
            <w:vAlign w:val="center"/>
          </w:tcPr>
          <w:p>
            <w:pPr>
              <w:spacing w:before="20" w:after="20"/>
              <w:jc w:val="right"/>
            </w:pPr>
            <w:r>
              <w:rPr>
                <w:rFonts w:ascii="游ゴシック" w:hAnsi="游ゴシック" w:eastAsia="游ゴシック"/>
                <w:b w:val="0"/>
                <w:i w:val="0"/>
                <w:sz w:val="17"/>
              </w:rPr>
              <w:t>61</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0→2（―）</w:t>
            </w:r>
          </w:p>
        </w:tc>
        <w:tc>
          <w:tcPr>
            <w:tcW w:type="dxa" w:w="1587"/>
            <w:vAlign w:val="center"/>
          </w:tcPr>
          <w:p>
            <w:pPr>
              <w:spacing w:before="20" w:after="20"/>
              <w:jc w:val="right"/>
            </w:pPr>
            <w:r>
              <w:rPr>
                <w:rFonts w:ascii="游ゴシック" w:hAnsi="游ゴシック" w:eastAsia="游ゴシック"/>
                <w:b w:val="0"/>
                <w:i w:val="0"/>
                <w:sz w:val="17"/>
              </w:rPr>
              <w:t>0→4（―）</w:t>
            </w:r>
          </w:p>
        </w:tc>
        <w:tc>
          <w:tcPr>
            <w:tcW w:type="dxa" w:w="1474"/>
            <w:vAlign w:val="center"/>
          </w:tcPr>
          <w:p>
            <w:pPr>
              <w:spacing w:before="20" w:after="20"/>
              <w:jc w:val="right"/>
            </w:pPr>
            <w:r>
              <w:rPr>
                <w:rFonts w:ascii="游ゴシック" w:hAnsi="游ゴシック" w:eastAsia="游ゴシック"/>
                <w:b w:val="0"/>
                <w:i w:val="0"/>
                <w:sz w:val="17"/>
              </w:rPr>
              <w:t>2</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0→42（―）</w:t>
            </w:r>
          </w:p>
        </w:tc>
        <w:tc>
          <w:tcPr>
            <w:tcW w:type="dxa" w:w="1587"/>
            <w:vAlign w:val="center"/>
          </w:tcPr>
          <w:p>
            <w:pPr>
              <w:spacing w:before="20" w:after="20"/>
              <w:jc w:val="right"/>
            </w:pPr>
            <w:r>
              <w:rPr>
                <w:rFonts w:ascii="游ゴシック" w:hAnsi="游ゴシック" w:eastAsia="游ゴシック"/>
                <w:b w:val="0"/>
                <w:i w:val="0"/>
                <w:sz w:val="17"/>
              </w:rPr>
              <w:t>0→84（―）</w:t>
            </w:r>
          </w:p>
        </w:tc>
        <w:tc>
          <w:tcPr>
            <w:tcW w:type="dxa" w:w="1474"/>
            <w:vAlign w:val="center"/>
          </w:tcPr>
          <w:p>
            <w:pPr>
              <w:spacing w:before="20" w:after="20"/>
              <w:jc w:val="right"/>
            </w:pPr>
            <w:r>
              <w:rPr>
                <w:rFonts w:ascii="游ゴシック" w:hAnsi="游ゴシック" w:eastAsia="游ゴシック"/>
                <w:b w:val="0"/>
                <w:i w:val="0"/>
                <w:sz w:val="17"/>
              </w:rPr>
              <w:t>46</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43→33（77％）</w:t>
            </w:r>
          </w:p>
        </w:tc>
        <w:tc>
          <w:tcPr>
            <w:tcW w:type="dxa" w:w="1587"/>
            <w:vAlign w:val="center"/>
          </w:tcPr>
          <w:p>
            <w:pPr>
              <w:spacing w:before="20" w:after="20"/>
              <w:jc w:val="right"/>
            </w:pPr>
            <w:r>
              <w:rPr>
                <w:rFonts w:ascii="游ゴシック" w:hAnsi="游ゴシック" w:eastAsia="游ゴシック"/>
                <w:b w:val="0"/>
                <w:i w:val="0"/>
                <w:sz w:val="17"/>
              </w:rPr>
              <w:t>44→33（75％）</w:t>
            </w:r>
          </w:p>
        </w:tc>
        <w:tc>
          <w:tcPr>
            <w:tcW w:type="dxa" w:w="1587"/>
            <w:vAlign w:val="center"/>
          </w:tcPr>
          <w:p>
            <w:pPr>
              <w:spacing w:before="20" w:after="20"/>
              <w:jc w:val="right"/>
            </w:pPr>
            <w:r>
              <w:rPr>
                <w:rFonts w:ascii="游ゴシック" w:hAnsi="游ゴシック" w:eastAsia="游ゴシック"/>
                <w:b w:val="0"/>
                <w:i w:val="0"/>
                <w:sz w:val="17"/>
              </w:rPr>
              <w:t>45→36（80％）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998→561（56％）</w:t>
            </w:r>
          </w:p>
        </w:tc>
        <w:tc>
          <w:tcPr>
            <w:tcW w:type="dxa" w:w="1587"/>
            <w:vAlign w:val="center"/>
          </w:tcPr>
          <w:p>
            <w:pPr>
              <w:spacing w:before="20" w:after="20"/>
              <w:jc w:val="right"/>
            </w:pPr>
            <w:r>
              <w:rPr>
                <w:rFonts w:ascii="游ゴシック" w:hAnsi="游ゴシック" w:eastAsia="游ゴシック"/>
                <w:b w:val="0"/>
                <w:i w:val="0"/>
                <w:sz w:val="17"/>
              </w:rPr>
              <w:t>1078→595（55％）</w:t>
            </w:r>
          </w:p>
        </w:tc>
        <w:tc>
          <w:tcPr>
            <w:tcW w:type="dxa" w:w="1587"/>
            <w:vAlign w:val="center"/>
          </w:tcPr>
          <w:p>
            <w:pPr>
              <w:spacing w:before="20" w:after="20"/>
              <w:jc w:val="right"/>
            </w:pPr>
            <w:r>
              <w:rPr>
                <w:rFonts w:ascii="游ゴシック" w:hAnsi="游ゴシック" w:eastAsia="游ゴシック"/>
                <w:b w:val="0"/>
                <w:i w:val="0"/>
                <w:sz w:val="17"/>
              </w:rPr>
              <w:t>1164→612（53％）</w:t>
            </w:r>
          </w:p>
        </w:tc>
        <w:tc>
          <w:tcPr>
            <w:tcW w:type="dxa" w:w="1474"/>
            <w:vAlign w:val="center"/>
          </w:tcPr>
          <w:p>
            <w:pPr>
              <w:spacing w:before="20" w:after="20"/>
              <w:jc w:val="right"/>
            </w:pPr>
            <w:r>
              <w:rPr>
                <w:rFonts w:ascii="游ゴシック" w:hAnsi="游ゴシック" w:eastAsia="游ゴシック"/>
                <w:b w:val="0"/>
                <w:i w:val="0"/>
                <w:sz w:val="17"/>
              </w:rPr>
              <w:t>874</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9→5（56％）</w:t>
            </w:r>
          </w:p>
        </w:tc>
        <w:tc>
          <w:tcPr>
            <w:tcW w:type="dxa" w:w="1587"/>
            <w:vAlign w:val="center"/>
          </w:tcPr>
          <w:p>
            <w:pPr>
              <w:spacing w:before="20" w:after="20"/>
              <w:jc w:val="right"/>
            </w:pPr>
            <w:r>
              <w:rPr>
                <w:rFonts w:ascii="游ゴシック" w:hAnsi="游ゴシック" w:eastAsia="游ゴシック"/>
                <w:b w:val="0"/>
                <w:i w:val="0"/>
                <w:sz w:val="17"/>
              </w:rPr>
              <w:t>9→6（67％）</w:t>
            </w:r>
          </w:p>
        </w:tc>
        <w:tc>
          <w:tcPr>
            <w:tcW w:type="dxa" w:w="1587"/>
            <w:vAlign w:val="center"/>
          </w:tcPr>
          <w:p>
            <w:pPr>
              <w:spacing w:before="20" w:after="20"/>
              <w:jc w:val="right"/>
            </w:pPr>
            <w:r>
              <w:rPr>
                <w:rFonts w:ascii="游ゴシック" w:hAnsi="游ゴシック" w:eastAsia="游ゴシック"/>
                <w:b w:val="0"/>
                <w:i w:val="0"/>
                <w:sz w:val="17"/>
              </w:rPr>
              <w:t>10→4（40％）</w:t>
            </w:r>
          </w:p>
        </w:tc>
        <w:tc>
          <w:tcPr>
            <w:tcW w:type="dxa" w:w="1474"/>
            <w:vAlign w:val="center"/>
          </w:tcPr>
          <w:p>
            <w:pPr>
              <w:spacing w:before="20" w:after="20"/>
              <w:jc w:val="right"/>
            </w:pPr>
            <w:r>
              <w:rPr>
                <w:rFonts w:ascii="游ゴシック" w:hAnsi="游ゴシック" w:eastAsia="游ゴシック"/>
                <w:b w:val="0"/>
                <w:i w:val="0"/>
                <w:sz w:val="17"/>
              </w:rPr>
              <w:t>5</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時間</w:t>
            </w:r>
          </w:p>
        </w:tc>
        <w:tc>
          <w:tcPr>
            <w:tcW w:type="dxa" w:w="1587"/>
            <w:vAlign w:val="center"/>
          </w:tcPr>
          <w:p>
            <w:pPr>
              <w:spacing w:before="20" w:after="20"/>
              <w:jc w:val="right"/>
            </w:pPr>
            <w:r>
              <w:rPr>
                <w:rFonts w:ascii="游ゴシック" w:hAnsi="游ゴシック" w:eastAsia="游ゴシック"/>
                <w:b w:val="0"/>
                <w:i w:val="0"/>
                <w:sz w:val="17"/>
              </w:rPr>
              <w:t>25→50（200％）</w:t>
            </w:r>
          </w:p>
        </w:tc>
        <w:tc>
          <w:tcPr>
            <w:tcW w:type="dxa" w:w="1587"/>
            <w:vAlign w:val="center"/>
          </w:tcPr>
          <w:p>
            <w:pPr>
              <w:spacing w:before="20" w:after="20"/>
              <w:jc w:val="right"/>
            </w:pPr>
            <w:r>
              <w:rPr>
                <w:rFonts w:ascii="游ゴシック" w:hAnsi="游ゴシック" w:eastAsia="游ゴシック"/>
                <w:b w:val="0"/>
                <w:i w:val="0"/>
                <w:sz w:val="17"/>
              </w:rPr>
              <w:t>25→42（168％）</w:t>
            </w:r>
          </w:p>
        </w:tc>
        <w:tc>
          <w:tcPr>
            <w:tcW w:type="dxa" w:w="1587"/>
            <w:vAlign w:val="center"/>
          </w:tcPr>
          <w:p>
            <w:pPr>
              <w:spacing w:before="20" w:after="20"/>
              <w:jc w:val="right"/>
            </w:pPr>
            <w:r>
              <w:rPr>
                <w:rFonts w:ascii="游ゴシック" w:hAnsi="游ゴシック" w:eastAsia="游ゴシック"/>
                <w:b w:val="0"/>
                <w:i w:val="0"/>
                <w:sz w:val="17"/>
              </w:rPr>
              <w:t>26→28（108％）</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27→32（119％）</w:t>
            </w:r>
          </w:p>
        </w:tc>
        <w:tc>
          <w:tcPr>
            <w:tcW w:type="dxa" w:w="1587"/>
            <w:vAlign w:val="center"/>
          </w:tcPr>
          <w:p>
            <w:pPr>
              <w:spacing w:before="20" w:after="20"/>
              <w:jc w:val="right"/>
            </w:pPr>
            <w:r>
              <w:rPr>
                <w:rFonts w:ascii="游ゴシック" w:hAnsi="游ゴシック" w:eastAsia="游ゴシック"/>
                <w:b w:val="0"/>
                <w:i w:val="0"/>
                <w:sz w:val="17"/>
              </w:rPr>
              <w:t>28→33（118％）</w:t>
            </w:r>
          </w:p>
        </w:tc>
        <w:tc>
          <w:tcPr>
            <w:tcW w:type="dxa" w:w="1587"/>
            <w:vAlign w:val="center"/>
          </w:tcPr>
          <w:p>
            <w:pPr>
              <w:spacing w:before="20" w:after="20"/>
              <w:jc w:val="right"/>
            </w:pPr>
            <w:r>
              <w:rPr>
                <w:rFonts w:ascii="游ゴシック" w:hAnsi="游ゴシック" w:eastAsia="游ゴシック"/>
                <w:b w:val="0"/>
                <w:i w:val="0"/>
                <w:sz w:val="17"/>
              </w:rPr>
              <w:t>29→31（107％）</w:t>
            </w:r>
          </w:p>
        </w:tc>
        <w:tc>
          <w:tcPr>
            <w:tcW w:type="dxa" w:w="1474"/>
            <w:vAlign w:val="center"/>
          </w:tcPr>
          <w:p>
            <w:pPr>
              <w:spacing w:before="20" w:after="20"/>
              <w:jc w:val="right"/>
            </w:pPr>
            <w:r>
              <w:rPr>
                <w:rFonts w:ascii="游ゴシック" w:hAnsi="游ゴシック" w:eastAsia="游ゴシック"/>
                <w:b w:val="0"/>
                <w:i w:val="0"/>
                <w:sz w:val="17"/>
              </w:rPr>
              <w:t>391</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306→112（37％）</w:t>
            </w:r>
          </w:p>
        </w:tc>
        <w:tc>
          <w:tcPr>
            <w:tcW w:type="dxa" w:w="1587"/>
            <w:vAlign w:val="center"/>
          </w:tcPr>
          <w:p>
            <w:pPr>
              <w:spacing w:before="20" w:after="20"/>
              <w:jc w:val="right"/>
            </w:pPr>
            <w:r>
              <w:rPr>
                <w:rFonts w:ascii="游ゴシック" w:hAnsi="游ゴシック" w:eastAsia="游ゴシック"/>
                <w:b w:val="0"/>
                <w:i w:val="0"/>
                <w:sz w:val="17"/>
              </w:rPr>
              <w:t>318→106（33％）</w:t>
            </w:r>
          </w:p>
        </w:tc>
        <w:tc>
          <w:tcPr>
            <w:tcW w:type="dxa" w:w="1587"/>
            <w:vAlign w:val="center"/>
          </w:tcPr>
          <w:p>
            <w:pPr>
              <w:spacing w:before="20" w:after="20"/>
              <w:jc w:val="right"/>
            </w:pPr>
            <w:r>
              <w:rPr>
                <w:rFonts w:ascii="游ゴシック" w:hAnsi="游ゴシック" w:eastAsia="游ゴシック"/>
                <w:b w:val="0"/>
                <w:i w:val="0"/>
                <w:sz w:val="17"/>
              </w:rPr>
              <w:t>330→93（28％）</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施設入所支援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19→16（84％）</w:t>
            </w:r>
          </w:p>
        </w:tc>
        <w:tc>
          <w:tcPr>
            <w:tcW w:type="dxa" w:w="1587"/>
            <w:vAlign w:val="center"/>
          </w:tcPr>
          <w:p>
            <w:pPr>
              <w:spacing w:before="20" w:after="20"/>
              <w:jc w:val="right"/>
            </w:pPr>
            <w:r>
              <w:rPr>
                <w:rFonts w:ascii="游ゴシック" w:hAnsi="游ゴシック" w:eastAsia="游ゴシック"/>
                <w:b w:val="0"/>
                <w:i w:val="0"/>
                <w:sz w:val="17"/>
              </w:rPr>
              <w:t>19→15（79％）</w:t>
            </w:r>
          </w:p>
        </w:tc>
        <w:tc>
          <w:tcPr>
            <w:tcW w:type="dxa" w:w="1587"/>
            <w:vAlign w:val="center"/>
          </w:tcPr>
          <w:p>
            <w:pPr>
              <w:spacing w:before="20" w:after="20"/>
              <w:jc w:val="right"/>
            </w:pPr>
            <w:r>
              <w:rPr>
                <w:rFonts w:ascii="游ゴシック" w:hAnsi="游ゴシック" w:eastAsia="游ゴシック"/>
                <w:b w:val="0"/>
                <w:i w:val="0"/>
                <w:sz w:val="17"/>
              </w:rPr>
              <w:t>19→14（74％）</w:t>
            </w:r>
          </w:p>
        </w:tc>
        <w:tc>
          <w:tcPr>
            <w:tcW w:type="dxa" w:w="1474"/>
            <w:vAlign w:val="center"/>
          </w:tcPr>
          <w:p>
            <w:pPr>
              <w:spacing w:before="20" w:after="20"/>
              <w:jc w:val="right"/>
            </w:pPr>
            <w:r>
              <w:rPr>
                <w:rFonts w:ascii="游ゴシック" w:hAnsi="游ゴシック" w:eastAsia="游ゴシック"/>
                <w:b w:val="0"/>
                <w:i w:val="0"/>
                <w:sz w:val="17"/>
              </w:rPr>
              <w:t>15</w:t>
            </w:r>
          </w:p>
        </w:tc>
      </w:tr>
      <w:tr>
        <w:tc>
          <w:tcPr>
            <w:tcW w:type="dxa" w:w="2608"/>
            <w:vAlign w:val="center"/>
          </w:tcPr>
          <w:p>
            <w:pPr>
              <w:spacing w:before="20" w:after="20"/>
            </w:pPr>
            <w:r>
              <w:rPr>
                <w:rFonts w:ascii="游ゴシック" w:hAnsi="游ゴシック" w:eastAsia="游ゴシック"/>
                <w:b w:val="0"/>
                <w:i w:val="0"/>
                <w:sz w:val="17"/>
              </w:rPr>
              <w:t>日中一時支援事業</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28→23（82％）</w:t>
            </w:r>
          </w:p>
        </w:tc>
        <w:tc>
          <w:tcPr>
            <w:tcW w:type="dxa" w:w="1587"/>
            <w:vAlign w:val="center"/>
          </w:tcPr>
          <w:p>
            <w:pPr>
              <w:spacing w:before="20" w:after="20"/>
              <w:jc w:val="right"/>
            </w:pPr>
            <w:r>
              <w:rPr>
                <w:rFonts w:ascii="游ゴシック" w:hAnsi="游ゴシック" w:eastAsia="游ゴシック"/>
                <w:b w:val="0"/>
                <w:i w:val="0"/>
                <w:sz w:val="17"/>
              </w:rPr>
              <w:t>28→22（79％）</w:t>
            </w:r>
          </w:p>
        </w:tc>
        <w:tc>
          <w:tcPr>
            <w:tcW w:type="dxa" w:w="1587"/>
            <w:vAlign w:val="center"/>
          </w:tcPr>
          <w:p>
            <w:pPr>
              <w:spacing w:before="20" w:after="20"/>
              <w:jc w:val="right"/>
            </w:pPr>
            <w:r>
              <w:rPr>
                <w:rFonts w:ascii="游ゴシック" w:hAnsi="游ゴシック" w:eastAsia="游ゴシック"/>
                <w:b w:val="0"/>
                <w:i w:val="0"/>
                <w:sz w:val="17"/>
              </w:rPr>
              <w:t>28→24（86％）</w:t>
            </w:r>
          </w:p>
        </w:tc>
        <w:tc>
          <w:tcPr>
            <w:tcW w:type="dxa" w:w="1474"/>
            <w:vAlign w:val="center"/>
          </w:tcPr>
          <w:p>
            <w:pPr>
              <w:spacing w:before="20" w:after="20"/>
              <w:jc w:val="right"/>
            </w:pPr>
            <w:r>
              <w:rPr>
                <w:rFonts w:ascii="游ゴシック" w:hAnsi="游ゴシック" w:eastAsia="游ゴシック"/>
                <w:b w:val="0"/>
                <w:i w:val="0"/>
                <w:sz w:val="17"/>
              </w:rPr>
              <w:t>24</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33→31（94％）</w:t>
            </w:r>
          </w:p>
        </w:tc>
        <w:tc>
          <w:tcPr>
            <w:tcW w:type="dxa" w:w="1587"/>
            <w:vAlign w:val="center"/>
          </w:tcPr>
          <w:p>
            <w:pPr>
              <w:spacing w:before="20" w:after="20"/>
              <w:jc w:val="right"/>
            </w:pPr>
            <w:r>
              <w:rPr>
                <w:rFonts w:ascii="游ゴシック" w:hAnsi="游ゴシック" w:eastAsia="游ゴシック"/>
                <w:b w:val="0"/>
                <w:i w:val="0"/>
                <w:sz w:val="17"/>
              </w:rPr>
              <w:t>33→29（88％）</w:t>
            </w:r>
          </w:p>
        </w:tc>
        <w:tc>
          <w:tcPr>
            <w:tcW w:type="dxa" w:w="1587"/>
            <w:vAlign w:val="center"/>
          </w:tcPr>
          <w:p>
            <w:pPr>
              <w:spacing w:before="20" w:after="20"/>
              <w:jc w:val="right"/>
            </w:pPr>
            <w:r>
              <w:rPr>
                <w:rFonts w:ascii="游ゴシック" w:hAnsi="游ゴシック" w:eastAsia="游ゴシック"/>
                <w:b w:val="0"/>
                <w:i w:val="0"/>
                <w:sz w:val="17"/>
              </w:rPr>
              <w:t>33→28（85％）</w:t>
            </w:r>
          </w:p>
        </w:tc>
        <w:tc>
          <w:tcPr>
            <w:tcW w:type="dxa" w:w="1474"/>
            <w:vAlign w:val="center"/>
          </w:tcPr>
          <w:p>
            <w:pPr>
              <w:spacing w:before="20" w:after="20"/>
              <w:jc w:val="right"/>
            </w:pPr>
            <w:r>
              <w:rPr>
                <w:rFonts w:ascii="游ゴシック" w:hAnsi="游ゴシック" w:eastAsia="游ゴシック"/>
                <w:b w:val="0"/>
                <w:i w:val="0"/>
                <w:sz w:val="17"/>
              </w:rPr>
              <w:t>26</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728→589（81％）</w:t>
            </w:r>
          </w:p>
        </w:tc>
        <w:tc>
          <w:tcPr>
            <w:tcW w:type="dxa" w:w="1587"/>
            <w:vAlign w:val="center"/>
          </w:tcPr>
          <w:p>
            <w:pPr>
              <w:spacing w:before="20" w:after="20"/>
              <w:jc w:val="right"/>
            </w:pPr>
            <w:r>
              <w:rPr>
                <w:rFonts w:ascii="游ゴシック" w:hAnsi="游ゴシック" w:eastAsia="游ゴシック"/>
                <w:b w:val="0"/>
                <w:i w:val="0"/>
                <w:sz w:val="17"/>
              </w:rPr>
              <w:t>728→551（76％）</w:t>
            </w:r>
          </w:p>
        </w:tc>
        <w:tc>
          <w:tcPr>
            <w:tcW w:type="dxa" w:w="1587"/>
            <w:vAlign w:val="center"/>
          </w:tcPr>
          <w:p>
            <w:pPr>
              <w:spacing w:before="20" w:after="20"/>
              <w:jc w:val="right"/>
            </w:pPr>
            <w:r>
              <w:rPr>
                <w:rFonts w:ascii="游ゴシック" w:hAnsi="游ゴシック" w:eastAsia="游ゴシック"/>
                <w:b w:val="0"/>
                <w:i w:val="0"/>
                <w:sz w:val="17"/>
              </w:rPr>
              <w:t>728→504（69％）</w:t>
            </w:r>
          </w:p>
        </w:tc>
        <w:tc>
          <w:tcPr>
            <w:tcW w:type="dxa" w:w="1474"/>
            <w:vAlign w:val="center"/>
          </w:tcPr>
          <w:p>
            <w:pPr>
              <w:spacing w:before="20" w:after="20"/>
              <w:jc w:val="right"/>
            </w:pPr>
            <w:r>
              <w:rPr>
                <w:rFonts w:ascii="游ゴシック" w:hAnsi="游ゴシック" w:eastAsia="游ゴシック"/>
                <w:b w:val="0"/>
                <w:i w:val="0"/>
                <w:sz w:val="17"/>
              </w:rPr>
              <w:t>728</w:t>
            </w:r>
          </w:p>
        </w:tc>
      </w:tr>
      <w:tr>
        <w:tc>
          <w:tcPr>
            <w:tcW w:type="dxa" w:w="2608"/>
            <w:vAlign w:val="center"/>
          </w:tcPr>
          <w:p>
            <w:pPr>
              <w:spacing w:before="20" w:after="20"/>
            </w:pPr>
            <w:r>
              <w:rPr>
                <w:rFonts w:ascii="游ゴシック" w:hAnsi="游ゴシック" w:eastAsia="游ゴシック"/>
                <w:b w:val="0"/>
                <w:i w:val="0"/>
                <w:sz w:val="17"/>
              </w:rPr>
              <w:t>療養介護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587"/>
            <w:vAlign w:val="center"/>
          </w:tcPr>
          <w:p>
            <w:pPr>
              <w:spacing w:before="20" w:after="20"/>
              <w:jc w:val="right"/>
            </w:pPr>
            <w:r>
              <w:rPr>
                <w:rFonts w:ascii="游ゴシック" w:hAnsi="游ゴシック" w:eastAsia="游ゴシック"/>
                <w:b w:val="0"/>
                <w:i w:val="0"/>
                <w:sz w:val="17"/>
              </w:rPr>
              <w:t>2→2（100％）</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17→21（124％）</w:t>
            </w:r>
          </w:p>
        </w:tc>
        <w:tc>
          <w:tcPr>
            <w:tcW w:type="dxa" w:w="1587"/>
            <w:vAlign w:val="center"/>
          </w:tcPr>
          <w:p>
            <w:pPr>
              <w:spacing w:before="20" w:after="20"/>
              <w:jc w:val="right"/>
            </w:pPr>
            <w:r>
              <w:rPr>
                <w:rFonts w:ascii="游ゴシック" w:hAnsi="游ゴシック" w:eastAsia="游ゴシック"/>
                <w:b w:val="0"/>
                <w:i w:val="0"/>
                <w:sz w:val="17"/>
              </w:rPr>
              <w:t>17→14（82％）</w:t>
            </w:r>
          </w:p>
        </w:tc>
        <w:tc>
          <w:tcPr>
            <w:tcW w:type="dxa" w:w="1587"/>
            <w:vAlign w:val="center"/>
          </w:tcPr>
          <w:p>
            <w:pPr>
              <w:spacing w:before="20" w:after="20"/>
              <w:jc w:val="right"/>
            </w:pPr>
            <w:r>
              <w:rPr>
                <w:rFonts w:ascii="游ゴシック" w:hAnsi="游ゴシック" w:eastAsia="游ゴシック"/>
                <w:b w:val="0"/>
                <w:i w:val="0"/>
                <w:sz w:val="17"/>
              </w:rPr>
              <w:t>17→18（106％）</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22→0（0％）</w:t>
            </w:r>
          </w:p>
        </w:tc>
        <w:tc>
          <w:tcPr>
            <w:tcW w:type="dxa" w:w="1587"/>
            <w:vAlign w:val="center"/>
          </w:tcPr>
          <w:p>
            <w:pPr>
              <w:spacing w:before="20" w:after="20"/>
              <w:jc w:val="right"/>
            </w:pPr>
            <w:r>
              <w:rPr>
                <w:rFonts w:ascii="游ゴシック" w:hAnsi="游ゴシック" w:eastAsia="游ゴシック"/>
                <w:b w:val="0"/>
                <w:i w:val="0"/>
                <w:sz w:val="17"/>
              </w:rPr>
              <w:t>22→15（68％）</w:t>
            </w:r>
          </w:p>
        </w:tc>
        <w:tc>
          <w:tcPr>
            <w:tcW w:type="dxa" w:w="1587"/>
            <w:vAlign w:val="center"/>
          </w:tcPr>
          <w:p>
            <w:pPr>
              <w:spacing w:before="20" w:after="20"/>
              <w:jc w:val="right"/>
            </w:pPr>
            <w:r>
              <w:rPr>
                <w:rFonts w:ascii="游ゴシック" w:hAnsi="游ゴシック" w:eastAsia="游ゴシック"/>
                <w:b w:val="0"/>
                <w:i w:val="0"/>
                <w:sz w:val="17"/>
              </w:rPr>
              <w:t>22→23（105％）</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計画相談支援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7→11（157％）</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474"/>
            <w:vAlign w:val="center"/>
          </w:tcPr>
          <w:p>
            <w:pPr>
              <w:spacing w:before="20" w:after="20"/>
              <w:jc w:val="right"/>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w:t>
      </w:r>
      <w:r>
        <w:rPr>
          <w:rFonts w:ascii="游ゴシック" w:hAnsi="游ゴシック" w:eastAsia="游ゴシック"/>
          <w:b/>
          <w:i w:val="0"/>
          <w:sz w:val="17"/>
        </w:rPr>
        <w:t>本表は同計画の PDF を機械で読み取ったもの</w:t>
      </w:r>
      <w:r>
        <w:rPr>
          <w:rFonts w:ascii="游ゴシック" w:hAnsi="游ゴシック" w:eastAsia="游ゴシック"/>
          <w:b w:val="0"/>
          <w:i w:val="0"/>
          <w:sz w:val="17"/>
        </w:rPr>
        <w:t>で、書き写していません（`ono_shogai_zenkai.py`）。「見込量→実績」の形で示し、括弧内は見込量に対する実績の割合です。令和5年度は実績見込。</w:t>
      </w:r>
      <w:r>
        <w:rPr>
          <w:rFonts w:ascii="游ゴシック" w:hAnsi="游ゴシック" w:eastAsia="游ゴシック"/>
          <w:b/>
          <w:i w:val="0"/>
          <w:sz w:val="17"/>
        </w:rPr>
        <w:t>実績・見込量とも全年度0のサービスは省いています</w:t>
      </w:r>
      <w:r>
        <w:rPr>
          <w:rFonts w:ascii="游ゴシック" w:hAnsi="游ゴシック" w:eastAsia="游ゴシック"/>
          <w:b w:val="0"/>
          <w:i w:val="0"/>
          <w:sz w:val="17"/>
        </w:rPr>
        <w:t>（29件）。</w:t>
      </w:r>
    </w:p>
    <w:p>
      <w:pPr>
        <w:spacing w:after="120"/>
      </w:pPr>
    </w:p>
    <w:p>
      <w:pPr>
        <w:spacing w:before="60" w:after="60"/>
      </w:pPr>
      <w:r>
        <w:rPr>
          <w:rFonts w:ascii="游ゴシック" w:hAnsi="游ゴシック" w:eastAsia="游ゴシック"/>
          <w:b/>
          <w:i w:val="0"/>
          <w:sz w:val="21"/>
        </w:rPr>
        <w:t>読み取れることが3つあります。</w:t>
      </w:r>
    </w:p>
    <w:p>
      <w:pPr>
        <w:spacing w:before="60" w:after="60"/>
      </w:pPr>
      <w:r>
        <w:rPr>
          <w:rFonts w:ascii="游ゴシック" w:hAnsi="游ゴシック" w:eastAsia="游ゴシック"/>
          <w:b/>
          <w:i w:val="0"/>
          <w:sz w:val="21"/>
        </w:rPr>
        <w:t>①人数はおおむね見込みどおりでも、量（人日）が大きく下回ります。</w:t>
      </w:r>
      <w:r>
        <w:rPr>
          <w:rFonts w:ascii="游ゴシック" w:hAnsi="游ゴシック" w:eastAsia="游ゴシック"/>
          <w:b w:val="0"/>
          <w:i w:val="0"/>
          <w:sz w:val="21"/>
        </w:rPr>
        <w:t>放課後等デイサービスは人数が見込みの107〜119％である一方、</w:t>
      </w:r>
      <w:r>
        <w:rPr>
          <w:rFonts w:ascii="游ゴシック" w:hAnsi="游ゴシック" w:eastAsia="游ゴシック"/>
          <w:b/>
          <w:i w:val="0"/>
          <w:sz w:val="21"/>
        </w:rPr>
        <w:t>人日は28〜37％</w:t>
      </w:r>
      <w:r>
        <w:rPr>
          <w:rFonts w:ascii="游ゴシック" w:hAnsi="游ゴシック" w:eastAsia="游ゴシック"/>
          <w:b w:val="0"/>
          <w:i w:val="0"/>
          <w:sz w:val="21"/>
        </w:rPr>
        <w:t>にとどまります。就労継続支援（Ｂ型）も人数75〜80％に対し人日53〜56％、生活介護も人数85〜94％に対し人日69〜81％です。</w:t>
      </w:r>
      <w:r>
        <w:rPr>
          <w:rFonts w:ascii="游ゴシック" w:hAnsi="游ゴシック" w:eastAsia="游ゴシック"/>
          <w:b/>
          <w:i w:val="0"/>
          <w:sz w:val="21"/>
        </w:rPr>
        <w:t>お一人あたりの利用日数が、見込みよりずっと少ない</w:t>
      </w:r>
      <w:r>
        <w:rPr>
          <w:rFonts w:ascii="游ゴシック" w:hAnsi="游ゴシック" w:eastAsia="游ゴシック"/>
          <w:b w:val="0"/>
          <w:i w:val="0"/>
          <w:sz w:val="21"/>
        </w:rPr>
        <w:t>ということです。</w:t>
      </w:r>
      <w:r>
        <w:rPr>
          <w:rFonts w:ascii="游ゴシック" w:hAnsi="游ゴシック" w:eastAsia="游ゴシック"/>
          <w:b/>
          <w:i w:val="0"/>
          <w:sz w:val="21"/>
        </w:rPr>
        <w:t>第8期の見込量は、人数と1人あたり日数を分けて置きます</w:t>
      </w:r>
      <w:r>
        <w:rPr>
          <w:rFonts w:ascii="游ゴシック" w:hAnsi="游ゴシック" w:eastAsia="游ゴシック"/>
          <w:b w:val="0"/>
          <w:i w:val="0"/>
          <w:sz w:val="21"/>
        </w:rPr>
        <w:t>（第3部第2章）。</w:t>
      </w:r>
    </w:p>
    <w:p>
      <w:pPr>
        <w:spacing w:before="60" w:after="60"/>
      </w:pPr>
      <w:r>
        <w:rPr>
          <w:rFonts w:ascii="游ゴシック" w:hAnsi="游ゴシック" w:eastAsia="游ゴシック"/>
          <w:b/>
          <w:i w:val="0"/>
          <w:sz w:val="21"/>
        </w:rPr>
        <w:t>②居宅介護はこれと逆です。</w:t>
      </w:r>
      <w:r>
        <w:rPr>
          <w:rFonts w:ascii="游ゴシック" w:hAnsi="游ゴシック" w:eastAsia="游ゴシック"/>
          <w:b w:val="0"/>
          <w:i w:val="0"/>
          <w:sz w:val="21"/>
        </w:rPr>
        <w:t>人数は見込みの40〜67％ですが、時間は108〜200％です。</w:t>
      </w:r>
      <w:r>
        <w:rPr>
          <w:rFonts w:ascii="游ゴシック" w:hAnsi="游ゴシック" w:eastAsia="游ゴシック"/>
          <w:b/>
          <w:i w:val="0"/>
          <w:sz w:val="21"/>
        </w:rPr>
        <w:t>少ない人数の方が、見込みより多く使っておられます。</w:t>
      </w:r>
    </w:p>
    <w:p>
      <w:pPr>
        <w:spacing w:before="60" w:after="60"/>
      </w:pPr>
      <w:r>
        <w:rPr>
          <w:rFonts w:ascii="游ゴシック" w:hAnsi="游ゴシック" w:eastAsia="游ゴシック"/>
          <w:b/>
          <w:i w:val="0"/>
          <w:sz w:val="21"/>
        </w:rPr>
        <w:t>③計画相談支援は見込みを大きく上回っています</w:t>
      </w:r>
      <w:r>
        <w:rPr>
          <w:rFonts w:ascii="游ゴシック" w:hAnsi="游ゴシック" w:eastAsia="游ゴシック"/>
          <w:b w:val="0"/>
          <w:i w:val="0"/>
          <w:sz w:val="21"/>
        </w:rPr>
        <w:t>（157〜171％）。</w:t>
      </w:r>
      <w:r>
        <w:rPr>
          <w:rFonts w:ascii="游ゴシック" w:hAnsi="游ゴシック" w:eastAsia="游ゴシック"/>
          <w:b/>
          <w:i w:val="0"/>
          <w:sz w:val="21"/>
        </w:rPr>
        <w:t>望まないセルフプランの解消（成果目標⑤）を考えるうえで、出発点となる数字です。</w:t>
      </w:r>
    </w:p>
    <w:p>
      <w:pPr>
        <w:spacing w:after="120"/>
      </w:pPr>
    </w:p>
    <w:p>
      <w:pPr>
        <w:spacing w:before="60" w:after="60"/>
      </w:pPr>
      <w:r>
        <w:rPr>
          <w:rFonts w:ascii="游ゴシック" w:hAnsi="游ゴシック" w:eastAsia="游ゴシック"/>
          <w:b/>
          <w:i w:val="0"/>
          <w:sz w:val="21"/>
        </w:rPr>
        <w:t>前回計画の短期入所の見込量については、引き継ぐ前に確かめるべき点があります。</w:t>
      </w:r>
    </w:p>
    <w:p>
      <w:pPr>
        <w:keepNext/>
        <w:spacing w:before="200" w:after="40"/>
      </w:pPr>
      <w:r>
        <w:rPr>
          <w:rFonts w:ascii="游ゴシック" w:hAnsi="游ゴシック" w:eastAsia="游ゴシック"/>
          <w:b/>
          <w:i w:val="0"/>
          <w:color w:val="1F4D78"/>
          <w:sz w:val="22"/>
        </w:rPr>
        <w:t>【表12】第1部第3章　現行計画の評価と課題（2）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969"/>
        <w:gridCol w:w="328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494"/>
            <w:vAlign w:val="center"/>
          </w:tcPr>
          <w:p>
            <w:pPr>
              <w:keepNext/>
              <w:spacing w:before="20" w:after="20"/>
            </w:pPr>
            <w:r>
              <w:rPr>
                <w:rFonts w:ascii="游ゴシック" w:hAnsi="游ゴシック" w:eastAsia="游ゴシック"/>
                <w:b/>
                <w:i w:val="0"/>
                <w:sz w:val="17"/>
              </w:rPr>
              <w:t>短期入所（福祉型）</w:t>
            </w:r>
          </w:p>
        </w:tc>
        <w:tc>
          <w:tcPr>
            <w:tcW w:type="dxa" w:w="3969"/>
            <w:vAlign w:val="center"/>
          </w:tcPr>
          <w:p>
            <w:pPr>
              <w:keepNext/>
              <w:spacing w:before="20" w:after="20"/>
            </w:pPr>
            <w:r>
              <w:rPr>
                <w:rFonts w:ascii="游ゴシック" w:hAnsi="游ゴシック" w:eastAsia="游ゴシック"/>
                <w:b/>
                <w:i w:val="0"/>
                <w:sz w:val="17"/>
              </w:rPr>
              <w:t>2〜3人／14〜21人日</w:t>
            </w:r>
            <w:r>
              <w:rPr>
                <w:rFonts w:ascii="游ゴシック" w:hAnsi="游ゴシック" w:eastAsia="游ゴシック"/>
                <w:b w:val="0"/>
                <w:i w:val="0"/>
                <w:sz w:val="17"/>
              </w:rPr>
              <w:t>（実績あり）</w:t>
            </w:r>
          </w:p>
        </w:tc>
        <w:tc>
          <w:tcPr>
            <w:tcW w:type="dxa" w:w="3288"/>
            <w:vAlign w:val="center"/>
          </w:tcPr>
          <w:p>
            <w:pPr>
              <w:keepNext/>
              <w:spacing w:before="20" w:after="20"/>
            </w:pPr>
            <w:r>
              <w:rPr>
                <w:rFonts w:ascii="游ゴシック" w:hAnsi="游ゴシック" w:eastAsia="游ゴシック"/>
                <w:b/>
                <w:i w:val="0"/>
                <w:sz w:val="17"/>
              </w:rPr>
              <w:t>0人／0人日</w:t>
            </w:r>
          </w:p>
        </w:tc>
      </w:tr>
      <w:tr>
        <w:tc>
          <w:tcPr>
            <w:tcW w:type="dxa" w:w="2494"/>
            <w:vAlign w:val="center"/>
          </w:tcPr>
          <w:p>
            <w:pPr>
              <w:spacing w:before="20" w:after="20"/>
            </w:pPr>
            <w:r>
              <w:rPr>
                <w:rFonts w:ascii="游ゴシック" w:hAnsi="游ゴシック" w:eastAsia="游ゴシック"/>
                <w:b/>
                <w:i w:val="0"/>
                <w:sz w:val="17"/>
              </w:rPr>
              <w:t>短期入所（医療型）</w:t>
            </w:r>
          </w:p>
        </w:tc>
        <w:tc>
          <w:tcPr>
            <w:tcW w:type="dxa" w:w="3969"/>
            <w:vAlign w:val="center"/>
          </w:tcPr>
          <w:p>
            <w:pPr>
              <w:spacing w:before="20" w:after="20"/>
            </w:pPr>
            <w:r>
              <w:rPr>
                <w:rFonts w:ascii="游ゴシック" w:hAnsi="游ゴシック" w:eastAsia="游ゴシック"/>
                <w:b/>
                <w:i w:val="0"/>
                <w:sz w:val="17"/>
              </w:rPr>
              <w:t>0人／0人日</w:t>
            </w:r>
            <w:r>
              <w:rPr>
                <w:rFonts w:ascii="游ゴシック" w:hAnsi="游ゴシック" w:eastAsia="游ゴシック"/>
                <w:b w:val="0"/>
                <w:i w:val="0"/>
                <w:sz w:val="17"/>
              </w:rPr>
              <w:t>（全年度0）</w:t>
            </w:r>
          </w:p>
        </w:tc>
        <w:tc>
          <w:tcPr>
            <w:tcW w:type="dxa" w:w="3288"/>
            <w:vAlign w:val="center"/>
          </w:tcPr>
          <w:p>
            <w:pPr>
              <w:spacing w:before="20" w:after="20"/>
            </w:pPr>
            <w:r>
              <w:rPr>
                <w:rFonts w:ascii="游ゴシック" w:hAnsi="游ゴシック" w:eastAsia="游ゴシック"/>
                <w:b/>
                <w:i w:val="0"/>
                <w:sz w:val="17"/>
              </w:rPr>
              <w:t>2人／24人日</w:t>
            </w:r>
          </w:p>
        </w:tc>
      </w:tr>
    </w:tbl>
    <w:p>
      <w:pPr>
        <w:spacing w:after="40"/>
      </w:pPr>
    </w:p>
    <w:p>
      <w:pPr>
        <w:spacing w:after="120"/>
      </w:pPr>
    </w:p>
    <w:p>
      <w:pPr>
        <w:spacing w:before="60" w:after="60"/>
      </w:pPr>
      <w:r>
        <w:rPr>
          <w:rFonts w:ascii="游ゴシック" w:hAnsi="游ゴシック" w:eastAsia="游ゴシック"/>
          <w:b/>
          <w:i w:val="0"/>
          <w:sz w:val="21"/>
        </w:rPr>
        <w:t>障がい児の第7期の見込量についても、同じく確かめる点があります。</w:t>
      </w:r>
    </w:p>
    <w:p>
      <w:pPr>
        <w:keepNext/>
        <w:spacing w:before="200" w:after="40"/>
      </w:pPr>
      <w:r>
        <w:rPr>
          <w:rFonts w:ascii="游ゴシック" w:hAnsi="游ゴシック" w:eastAsia="游ゴシック"/>
          <w:b/>
          <w:i w:val="0"/>
          <w:color w:val="1F4D78"/>
          <w:sz w:val="22"/>
        </w:rPr>
        <w:t>【表13】第1部第3章　現行計画の評価と課題（3）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8"/>
        <w:gridCol w:w="2268"/>
        <w:gridCol w:w="3175"/>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第6期の実績（令和5年度）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第7期の見込量（前回計画）</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041"/>
            <w:vAlign w:val="center"/>
          </w:tcPr>
          <w:p>
            <w:pPr>
              <w:keepNext/>
              <w:spacing w:before="20" w:after="20"/>
            </w:pPr>
            <w:r>
              <w:rPr>
                <w:rFonts w:ascii="游ゴシック" w:hAnsi="游ゴシック" w:eastAsia="游ゴシック"/>
                <w:b w:val="0"/>
                <w:i w:val="0"/>
                <w:sz w:val="17"/>
              </w:rPr>
              <w:t>児童発達支援</w:t>
            </w:r>
          </w:p>
        </w:tc>
        <w:tc>
          <w:tcPr>
            <w:tcW w:type="dxa" w:w="2268"/>
            <w:vAlign w:val="center"/>
          </w:tcPr>
          <w:p>
            <w:pPr>
              <w:keepNext/>
              <w:spacing w:before="20" w:after="20"/>
            </w:pPr>
            <w:r>
              <w:rPr>
                <w:rFonts w:ascii="游ゴシック" w:hAnsi="游ゴシック" w:eastAsia="游ゴシック"/>
                <w:b w:val="0"/>
                <w:i w:val="0"/>
                <w:sz w:val="17"/>
              </w:rPr>
              <w:t>6人／24人日</w:t>
            </w:r>
          </w:p>
        </w:tc>
        <w:tc>
          <w:tcPr>
            <w:tcW w:type="dxa" w:w="2268"/>
            <w:vAlign w:val="center"/>
          </w:tcPr>
          <w:p>
            <w:pPr>
              <w:keepNext/>
              <w:spacing w:before="20" w:after="20"/>
            </w:pPr>
            <w:r>
              <w:rPr>
                <w:rFonts w:ascii="游ゴシック" w:hAnsi="游ゴシック" w:eastAsia="游ゴシック"/>
                <w:b w:val="0"/>
                <w:i w:val="0"/>
                <w:sz w:val="17"/>
              </w:rPr>
              <w:t>38人／4人日</w:t>
            </w:r>
          </w:p>
        </w:tc>
        <w:tc>
          <w:tcPr>
            <w:tcW w:type="dxa" w:w="3175"/>
            <w:vAlign w:val="center"/>
          </w:tcPr>
          <w:p>
            <w:pPr>
              <w:keepNext/>
              <w:spacing w:before="20" w:after="20"/>
            </w:pPr>
            <w:r>
              <w:rPr>
                <w:rFonts w:ascii="游ゴシック" w:hAnsi="游ゴシック" w:eastAsia="游ゴシック"/>
                <w:b w:val="0"/>
                <w:i w:val="0"/>
                <w:sz w:val="17"/>
              </w:rPr>
              <w:t>「38 人・4 人日」。第6期の実績は6人・24〜28人日。</w:t>
            </w:r>
            <w:r>
              <w:rPr>
                <w:rFonts w:ascii="游ゴシック" w:hAnsi="游ゴシック" w:eastAsia="游ゴシック"/>
                <w:b/>
                <w:i w:val="0"/>
                <w:sz w:val="17"/>
              </w:rPr>
              <w:t>人と人日が入れ替わっているとみられる</w:t>
            </w:r>
          </w:p>
        </w:tc>
      </w:tr>
      <w:tr>
        <w:tc>
          <w:tcPr>
            <w:tcW w:type="dxa" w:w="2041"/>
            <w:vAlign w:val="center"/>
          </w:tcPr>
          <w:p>
            <w:pPr>
              <w:spacing w:before="20" w:after="20"/>
            </w:pPr>
            <w:r>
              <w:rPr>
                <w:rFonts w:ascii="游ゴシック" w:hAnsi="游ゴシック" w:eastAsia="游ゴシック"/>
                <w:b w:val="0"/>
                <w:i w:val="0"/>
                <w:sz w:val="17"/>
              </w:rPr>
              <w:t>放課後等デイサービス</w:t>
            </w:r>
          </w:p>
        </w:tc>
        <w:tc>
          <w:tcPr>
            <w:tcW w:type="dxa" w:w="2268"/>
            <w:vAlign w:val="center"/>
          </w:tcPr>
          <w:p>
            <w:pPr>
              <w:spacing w:before="20" w:after="20"/>
            </w:pPr>
            <w:r>
              <w:rPr>
                <w:rFonts w:ascii="游ゴシック" w:hAnsi="游ゴシック" w:eastAsia="游ゴシック"/>
                <w:b w:val="0"/>
                <w:i w:val="0"/>
                <w:sz w:val="17"/>
              </w:rPr>
              <w:t>31人／93人日</w:t>
            </w:r>
          </w:p>
        </w:tc>
        <w:tc>
          <w:tcPr>
            <w:tcW w:type="dxa" w:w="2268"/>
            <w:vAlign w:val="center"/>
          </w:tcPr>
          <w:p>
            <w:pPr>
              <w:spacing w:before="20" w:after="20"/>
            </w:pPr>
            <w:r>
              <w:rPr>
                <w:rFonts w:ascii="游ゴシック" w:hAnsi="游ゴシック" w:eastAsia="游ゴシック"/>
                <w:b w:val="0"/>
                <w:i w:val="0"/>
                <w:sz w:val="17"/>
              </w:rPr>
              <w:t>391人／23人日</w:t>
            </w:r>
          </w:p>
        </w:tc>
        <w:tc>
          <w:tcPr>
            <w:tcW w:type="dxa" w:w="3175"/>
            <w:vAlign w:val="center"/>
          </w:tcPr>
          <w:p>
            <w:pPr>
              <w:spacing w:before="20" w:after="20"/>
            </w:pPr>
            <w:r>
              <w:rPr>
                <w:rFonts w:ascii="游ゴシック" w:hAnsi="游ゴシック" w:eastAsia="游ゴシック"/>
                <w:b w:val="0"/>
                <w:i w:val="0"/>
                <w:sz w:val="17"/>
              </w:rPr>
              <w:t>「391 人・23 人日」。第6期の実績は31人・93人日。</w:t>
            </w:r>
            <w:r>
              <w:rPr>
                <w:rFonts w:ascii="游ゴシック" w:hAnsi="游ゴシック" w:eastAsia="游ゴシック"/>
                <w:b/>
                <w:i w:val="0"/>
                <w:sz w:val="17"/>
              </w:rPr>
              <w:t>本町の手帳所持者は508人であり、月391人の利用はありえない</w:t>
            </w:r>
          </w:p>
        </w:tc>
      </w:tr>
    </w:tbl>
    <w:p>
      <w:pPr>
        <w:spacing w:after="40"/>
      </w:pPr>
    </w:p>
    <w:p>
      <w:pPr>
        <w:spacing w:before="40" w:after="160"/>
        <w:ind w:left="113"/>
      </w:pPr>
      <w:r>
        <w:rPr>
          <w:rFonts w:ascii="游ゴシック" w:hAnsi="游ゴシック" w:eastAsia="游ゴシック"/>
          <w:b/>
          <w:i w:val="0"/>
          <w:sz w:val="17"/>
        </w:rPr>
        <w:t>※ 人と人日が入れ替わっているとみられます。</w:t>
      </w:r>
      <w:r>
        <w:rPr>
          <w:rFonts w:ascii="游ゴシック" w:hAnsi="游ゴシック" w:eastAsia="游ゴシック"/>
          <w:b/>
          <w:i w:val="0"/>
          <w:sz w:val="17"/>
        </w:rPr>
        <w:t>本町の手帳所持者は508人であり、放課後等デイサービスを月391人が利用することはありえません。</w:t>
      </w:r>
      <w:r>
        <w:rPr>
          <w:rFonts w:ascii="游ゴシック" w:hAnsi="游ゴシック" w:eastAsia="游ゴシック"/>
          <w:b w:val="0"/>
          <w:i w:val="0"/>
          <w:sz w:val="17"/>
        </w:rPr>
        <w:t>当方の読み違いである可能性も残るため、</w:t>
      </w:r>
      <w:r>
        <w:rPr>
          <w:rFonts w:ascii="游ゴシック" w:hAnsi="游ゴシック" w:eastAsia="游ゴシック"/>
          <w:b/>
          <w:i w:val="0"/>
          <w:sz w:val="17"/>
        </w:rPr>
        <w:t>値は前回計画のまま載せ、町に確かめたうえで第8期に用います</w:t>
      </w:r>
      <w:r>
        <w:rPr>
          <w:rFonts w:ascii="游ゴシック" w:hAnsi="游ゴシック" w:eastAsia="游ゴシック"/>
          <w:b w:val="0"/>
          <w:i w:val="0"/>
          <w:sz w:val="17"/>
        </w:rPr>
        <w:t>（【町データ待ち】）。なお、障がい児の表だけ見出しが「◆第7期の目標」となっており、ほかの「◆第7期の見込量」と違います。</w:t>
      </w:r>
    </w:p>
    <w:p>
      <w:pPr>
        <w:spacing w:after="120"/>
      </w:pPr>
    </w:p>
    <w:p>
      <w:pPr>
        <w:spacing w:before="40" w:after="160"/>
        <w:ind w:left="113"/>
      </w:pPr>
      <w:r>
        <w:rPr>
          <w:rFonts w:ascii="游ゴシック" w:hAnsi="游ゴシック" w:eastAsia="游ゴシック"/>
          <w:b/>
          <w:i w:val="0"/>
          <w:sz w:val="17"/>
        </w:rPr>
        <w:t>※ 実績のある福祉型を0とし、実績のない医療型に見込みを立てています。</w:t>
      </w:r>
      <w:r>
        <w:rPr>
          <w:rFonts w:ascii="游ゴシック" w:hAnsi="游ゴシック" w:eastAsia="游ゴシック"/>
          <w:b w:val="0"/>
          <w:i w:val="0"/>
          <w:sz w:val="17"/>
        </w:rPr>
        <w:t>前回計画の本文は「短期入所（医療型）については、今後も利用が見込まれることから、第7期は各年度3人、24人日（一人あたり12人日）として算出しています」としていますが、</w:t>
      </w:r>
      <w:r>
        <w:rPr>
          <w:rFonts w:ascii="游ゴシック" w:hAnsi="游ゴシック" w:eastAsia="游ゴシック"/>
          <w:b/>
          <w:i w:val="0"/>
          <w:sz w:val="17"/>
        </w:rPr>
        <w:t>表は2人</w:t>
      </w:r>
      <w:r>
        <w:rPr>
          <w:rFonts w:ascii="游ゴシック" w:hAnsi="游ゴシック" w:eastAsia="游ゴシック"/>
          <w:b w:val="0"/>
          <w:i w:val="0"/>
          <w:sz w:val="17"/>
        </w:rPr>
        <w:t>です。24人日÷12人日＝2人ですので、</w:t>
      </w:r>
      <w:r>
        <w:rPr>
          <w:rFonts w:ascii="游ゴシック" w:hAnsi="游ゴシック" w:eastAsia="游ゴシック"/>
          <w:b/>
          <w:i w:val="0"/>
          <w:sz w:val="17"/>
        </w:rPr>
        <w:t>本文の3人のほうが表とも計算とも合いません。</w:t>
      </w:r>
      <w:r>
        <w:rPr>
          <w:rFonts w:ascii="游ゴシック" w:hAnsi="游ゴシック" w:eastAsia="游ゴシック"/>
          <w:b/>
          <w:i w:val="0"/>
          <w:sz w:val="17"/>
        </w:rPr>
        <w:t>第8期は、実績のある福祉型に見込みを置きます</w:t>
      </w:r>
      <w:r>
        <w:rPr>
          <w:rFonts w:ascii="游ゴシック" w:hAnsi="游ゴシック" w:eastAsia="游ゴシック"/>
          <w:b w:val="0"/>
          <w:i w:val="0"/>
          <w:sz w:val="17"/>
        </w:rPr>
        <w:t>（【町データ待ち】）。</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i w:val="0"/>
          <w:sz w:val="21"/>
        </w:rPr>
        <w:t>前回計画の第2部（障がい者計画）は、9つの分野に49項目の施策を掲げ、96の取組を書いています。</w:t>
      </w:r>
      <w:r>
        <w:rPr>
          <w:rFonts w:ascii="游ゴシック" w:hAnsi="游ゴシック" w:eastAsia="游ゴシック"/>
          <w:b w:val="0"/>
          <w:i w:val="0"/>
          <w:sz w:val="21"/>
        </w:rPr>
        <w:t>本計画の第2部がこれをどう引き継ぐかは、次のとおりです。</w:t>
      </w:r>
    </w:p>
    <w:p>
      <w:pPr>
        <w:keepNext/>
        <w:spacing w:before="200" w:after="40"/>
      </w:pPr>
      <w:r>
        <w:rPr>
          <w:rFonts w:ascii="游ゴシック" w:hAnsi="游ゴシック" w:eastAsia="游ゴシック"/>
          <w:b/>
          <w:i w:val="0"/>
          <w:color w:val="1F4D78"/>
          <w:sz w:val="22"/>
        </w:rPr>
        <w:t>【表14】第1部第3章　現行計画の評価と課題（4）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37"/>
        <w:gridCol w:w="737"/>
        <w:gridCol w:w="1928"/>
        <w:gridCol w:w="374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前回計画の章</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取組</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本計画の章</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引き継ぎ方</w:t>
            </w:r>
          </w:p>
        </w:tc>
      </w:tr>
      <w:tr>
        <w:tc>
          <w:tcPr>
            <w:tcW w:type="dxa" w:w="2608"/>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i w:val="0"/>
                <w:sz w:val="17"/>
              </w:rPr>
              <w:t>第2章</w:t>
            </w:r>
            <w:r>
              <w:rPr>
                <w:rFonts w:ascii="游ゴシック" w:hAnsi="游ゴシック" w:eastAsia="游ゴシック"/>
                <w:b w:val="0"/>
                <w:i w:val="0"/>
                <w:sz w:val="17"/>
              </w:rPr>
              <w:t xml:space="preserve">　差別解消・権利擁護の推進</w:t>
            </w:r>
          </w:p>
        </w:tc>
        <w:tc>
          <w:tcPr>
            <w:tcW w:type="dxa" w:w="3742"/>
            <w:vAlign w:val="center"/>
          </w:tcPr>
          <w:p>
            <w:pPr>
              <w:spacing w:before="20" w:after="20"/>
            </w:pPr>
            <w:r>
              <w:rPr>
                <w:rFonts w:ascii="游ゴシック" w:hAnsi="游ゴシック" w:eastAsia="游ゴシック"/>
                <w:b/>
                <w:i w:val="0"/>
                <w:sz w:val="17"/>
              </w:rPr>
              <w:t>意思決定支援を独立した節（3）として加えます</w:t>
            </w:r>
            <w:r>
              <w:rPr>
                <w:rFonts w:ascii="游ゴシック" w:hAnsi="游ゴシック" w:eastAsia="游ゴシック"/>
                <w:b w:val="0"/>
                <w:i w:val="0"/>
                <w:sz w:val="17"/>
              </w:rPr>
              <w:t>（基本指針 別表第二 六の項④）</w:t>
            </w:r>
          </w:p>
        </w:tc>
      </w:tr>
      <w:tr>
        <w:tc>
          <w:tcPr>
            <w:tcW w:type="dxa" w:w="2608"/>
            <w:vAlign w:val="center"/>
          </w:tcPr>
          <w:p>
            <w:pPr>
              <w:spacing w:before="20" w:after="20"/>
            </w:pPr>
            <w:r>
              <w:rPr>
                <w:rFonts w:ascii="游ゴシック" w:hAnsi="游ゴシック" w:eastAsia="游ゴシック"/>
                <w:b w:val="0"/>
                <w:i w:val="0"/>
                <w:sz w:val="17"/>
              </w:rPr>
              <w:t>第3章　安全・安心な生活環境の整備</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第3章</w:t>
            </w:r>
            <w:r>
              <w:rPr>
                <w:rFonts w:ascii="游ゴシック" w:hAnsi="游ゴシック" w:eastAsia="游ゴシック"/>
                <w:b w:val="0"/>
                <w:i w:val="0"/>
                <w:sz w:val="17"/>
              </w:rPr>
              <w:t xml:space="preserve">　安全・安心な生活環境の整備</w:t>
            </w:r>
          </w:p>
        </w:tc>
        <w:tc>
          <w:tcPr>
            <w:tcW w:type="dxa" w:w="3742"/>
            <w:vAlign w:val="center"/>
          </w:tcPr>
          <w:p>
            <w:pPr>
              <w:spacing w:before="20" w:after="20"/>
            </w:pPr>
            <w:r>
              <w:rPr>
                <w:rFonts w:ascii="游ゴシック" w:hAnsi="游ゴシック" w:eastAsia="游ゴシック"/>
                <w:b/>
                <w:i w:val="0"/>
                <w:sz w:val="17"/>
              </w:rPr>
              <w:t>住宅セーフティネット法の居住支援協議会を加えます。</w:t>
            </w:r>
            <w:r>
              <w:rPr>
                <w:rFonts w:ascii="游ゴシック" w:hAnsi="游ゴシック" w:eastAsia="游ゴシック"/>
                <w:b w:val="0"/>
                <w:i w:val="0"/>
                <w:sz w:val="17"/>
              </w:rPr>
              <w:t>節の構成は前回どおり</w:t>
            </w:r>
          </w:p>
        </w:tc>
      </w:tr>
      <w:tr>
        <w:tc>
          <w:tcPr>
            <w:tcW w:type="dxa" w:w="2608"/>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i w:val="0"/>
                <w:sz w:val="17"/>
              </w:rPr>
              <w:t>第4章</w:t>
            </w:r>
            <w:r>
              <w:rPr>
                <w:rFonts w:ascii="游ゴシック" w:hAnsi="游ゴシック" w:eastAsia="游ゴシック"/>
                <w:b w:val="0"/>
                <w:i w:val="0"/>
                <w:sz w:val="17"/>
              </w:rPr>
              <w:t xml:space="preserve">　情報アクセシビリティの向上及び意思疎通支援の充実</w:t>
            </w:r>
          </w:p>
        </w:tc>
        <w:tc>
          <w:tcPr>
            <w:tcW w:type="dxa" w:w="3742"/>
            <w:vAlign w:val="center"/>
          </w:tcPr>
          <w:p>
            <w:pPr>
              <w:spacing w:before="20" w:after="20"/>
            </w:pPr>
            <w:r>
              <w:rPr>
                <w:rFonts w:ascii="游ゴシック" w:hAnsi="游ゴシック" w:eastAsia="游ゴシック"/>
                <w:b/>
                <w:i w:val="0"/>
                <w:sz w:val="17"/>
              </w:rPr>
              <w:t>前回は節がありませんでした。</w:t>
            </w:r>
            <w:r>
              <w:rPr>
                <w:rFonts w:ascii="游ゴシック" w:hAnsi="游ゴシック" w:eastAsia="游ゴシック"/>
                <w:b w:val="0"/>
                <w:i w:val="0"/>
                <w:sz w:val="17"/>
              </w:rPr>
              <w:t>町条例（令和7年4月）を根拠に</w:t>
            </w:r>
            <w:r>
              <w:rPr>
                <w:rFonts w:ascii="游ゴシック" w:hAnsi="游ゴシック" w:eastAsia="游ゴシック"/>
                <w:b/>
                <w:i w:val="0"/>
                <w:sz w:val="17"/>
              </w:rPr>
              <w:t>3つの節を立てます</w:t>
            </w:r>
          </w:p>
        </w:tc>
      </w:tr>
      <w:tr>
        <w:tc>
          <w:tcPr>
            <w:tcW w:type="dxa" w:w="2608"/>
            <w:vAlign w:val="center"/>
          </w:tcPr>
          <w:p>
            <w:pPr>
              <w:spacing w:before="20" w:after="20"/>
            </w:pPr>
            <w:r>
              <w:rPr>
                <w:rFonts w:ascii="游ゴシック" w:hAnsi="游ゴシック" w:eastAsia="游ゴシック"/>
                <w:b w:val="0"/>
                <w:i w:val="0"/>
                <w:sz w:val="17"/>
              </w:rPr>
              <w:t>第5章　防犯・防災の推進</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第5章</w:t>
            </w:r>
            <w:r>
              <w:rPr>
                <w:rFonts w:ascii="游ゴシック" w:hAnsi="游ゴシック" w:eastAsia="游ゴシック"/>
                <w:b w:val="0"/>
                <w:i w:val="0"/>
                <w:sz w:val="17"/>
              </w:rPr>
              <w:t xml:space="preserve">　防犯・防災の推進</w:t>
            </w:r>
          </w:p>
        </w:tc>
        <w:tc>
          <w:tcPr>
            <w:tcW w:type="dxa" w:w="3742"/>
            <w:vAlign w:val="center"/>
          </w:tcPr>
          <w:p>
            <w:pPr>
              <w:spacing w:before="20" w:after="20"/>
            </w:pPr>
            <w:r>
              <w:rPr>
                <w:rFonts w:ascii="游ゴシック" w:hAnsi="游ゴシック" w:eastAsia="游ゴシック"/>
                <w:b/>
                <w:i w:val="0"/>
                <w:sz w:val="17"/>
              </w:rPr>
              <w:t>個別避難計画を厚く書きます。</w:t>
            </w:r>
            <w:r>
              <w:rPr>
                <w:rFonts w:ascii="游ゴシック" w:hAnsi="游ゴシック" w:eastAsia="游ゴシック"/>
                <w:b w:val="0"/>
                <w:i w:val="0"/>
                <w:sz w:val="17"/>
              </w:rPr>
              <w:t>医療的ケア児等支援センターの協力（令和9年4月施行）を加えます</w:t>
            </w:r>
          </w:p>
        </w:tc>
      </w:tr>
      <w:tr>
        <w:tc>
          <w:tcPr>
            <w:tcW w:type="dxa" w:w="2608"/>
            <w:vAlign w:val="center"/>
          </w:tcPr>
          <w:p>
            <w:pPr>
              <w:spacing w:before="20" w:after="20"/>
            </w:pPr>
            <w:r>
              <w:rPr>
                <w:rFonts w:ascii="游ゴシック" w:hAnsi="游ゴシック" w:eastAsia="游ゴシック"/>
                <w:b w:val="0"/>
                <w:i w:val="0"/>
                <w:sz w:val="17"/>
              </w:rPr>
              <w:t>第6章　保健・医療の推進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第6章</w:t>
            </w:r>
            <w:r>
              <w:rPr>
                <w:rFonts w:ascii="游ゴシック" w:hAnsi="游ゴシック" w:eastAsia="游ゴシック"/>
                <w:b w:val="0"/>
                <w:i w:val="0"/>
                <w:sz w:val="17"/>
              </w:rPr>
              <w:t xml:space="preserve">　保健・医療の充実</w:t>
            </w:r>
          </w:p>
        </w:tc>
        <w:tc>
          <w:tcPr>
            <w:tcW w:type="dxa" w:w="3742"/>
            <w:vAlign w:val="center"/>
          </w:tcPr>
          <w:p>
            <w:pPr>
              <w:spacing w:before="20" w:after="20"/>
            </w:pPr>
            <w:r>
              <w:rPr>
                <w:rFonts w:ascii="游ゴシック" w:hAnsi="游ゴシック" w:eastAsia="游ゴシック"/>
                <w:b/>
                <w:i w:val="0"/>
                <w:sz w:val="17"/>
              </w:rPr>
              <w:t>医療的ケア児等への支援を新たな節（3）として加えます。</w:t>
            </w:r>
            <w:r>
              <w:rPr>
                <w:rFonts w:ascii="游ゴシック" w:hAnsi="游ゴシック" w:eastAsia="游ゴシック"/>
                <w:b w:val="0"/>
                <w:i w:val="0"/>
                <w:sz w:val="17"/>
              </w:rPr>
              <w:t>にも包括を第1節に位置づけます</w:t>
            </w:r>
          </w:p>
        </w:tc>
      </w:tr>
      <w:tr>
        <w:tc>
          <w:tcPr>
            <w:tcW w:type="dxa" w:w="2608"/>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第7章</w:t>
            </w:r>
            <w:r>
              <w:rPr>
                <w:rFonts w:ascii="游ゴシック" w:hAnsi="游ゴシック" w:eastAsia="游ゴシック"/>
                <w:b w:val="0"/>
                <w:i w:val="0"/>
                <w:sz w:val="17"/>
              </w:rPr>
              <w:t xml:space="preserve">　自立生活支援・相談支援体制の充実</w:t>
            </w:r>
          </w:p>
        </w:tc>
        <w:tc>
          <w:tcPr>
            <w:tcW w:type="dxa" w:w="3742"/>
            <w:vAlign w:val="center"/>
          </w:tcPr>
          <w:p>
            <w:pPr>
              <w:spacing w:before="20" w:after="20"/>
            </w:pPr>
            <w:r>
              <w:rPr>
                <w:rFonts w:ascii="游ゴシック" w:hAnsi="游ゴシック" w:eastAsia="游ゴシック"/>
                <w:b/>
                <w:i w:val="0"/>
                <w:sz w:val="17"/>
              </w:rPr>
              <w:t>3節を6節に広げます</w:t>
            </w:r>
            <w:r>
              <w:rPr>
                <w:rFonts w:ascii="游ゴシック" w:hAnsi="游ゴシック" w:eastAsia="游ゴシック"/>
                <w:b w:val="0"/>
                <w:i w:val="0"/>
                <w:sz w:val="17"/>
              </w:rPr>
              <w:t>（地域生活支援拠点／家族介助者／経済的負担／65歳到達）。</w:t>
            </w:r>
            <w:r>
              <w:rPr>
                <w:rFonts w:ascii="游ゴシック" w:hAnsi="游ゴシック" w:eastAsia="游ゴシック"/>
                <w:b/>
                <w:i w:val="0"/>
                <w:sz w:val="17"/>
              </w:rPr>
              <w:t>意思決定支援は第2章3へ、障がい児支援は第6章3・第8章へ</w:t>
            </w:r>
          </w:p>
        </w:tc>
      </w:tr>
      <w:tr>
        <w:tc>
          <w:tcPr>
            <w:tcW w:type="dxa" w:w="2608"/>
            <w:vAlign w:val="center"/>
          </w:tcPr>
          <w:p>
            <w:pPr>
              <w:spacing w:before="20" w:after="20"/>
            </w:pPr>
            <w:r>
              <w:rPr>
                <w:rFonts w:ascii="游ゴシック" w:hAnsi="游ゴシック" w:eastAsia="游ゴシック"/>
                <w:b w:val="0"/>
                <w:i w:val="0"/>
                <w:sz w:val="17"/>
              </w:rPr>
              <w:t>第8章　教育の振興</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1928"/>
            <w:vAlign w:val="center"/>
          </w:tcPr>
          <w:p>
            <w:pPr>
              <w:spacing w:before="20" w:after="20"/>
            </w:pPr>
            <w:r>
              <w:rPr>
                <w:rFonts w:ascii="游ゴシック" w:hAnsi="游ゴシック" w:eastAsia="游ゴシック"/>
                <w:b/>
                <w:i w:val="0"/>
                <w:sz w:val="17"/>
              </w:rPr>
              <w:t>第8章</w:t>
            </w:r>
            <w:r>
              <w:rPr>
                <w:rFonts w:ascii="游ゴシック" w:hAnsi="游ゴシック" w:eastAsia="游ゴシック"/>
                <w:b w:val="0"/>
                <w:i w:val="0"/>
                <w:sz w:val="17"/>
              </w:rPr>
              <w:t xml:space="preserve">　教育の振興</w:t>
            </w:r>
          </w:p>
        </w:tc>
        <w:tc>
          <w:tcPr>
            <w:tcW w:type="dxa" w:w="3742"/>
            <w:vAlign w:val="center"/>
          </w:tcPr>
          <w:p>
            <w:pPr>
              <w:spacing w:before="20" w:after="20"/>
            </w:pPr>
            <w:r>
              <w:rPr>
                <w:rFonts w:ascii="游ゴシック" w:hAnsi="游ゴシック" w:eastAsia="游ゴシック"/>
                <w:b/>
                <w:i w:val="0"/>
                <w:sz w:val="17"/>
              </w:rPr>
              <w:t>18歳移行を見据えた進路支援を新たな節（4）として加えます</w:t>
            </w:r>
          </w:p>
        </w:tc>
      </w:tr>
      <w:tr>
        <w:tc>
          <w:tcPr>
            <w:tcW w:type="dxa" w:w="2608"/>
            <w:vAlign w:val="center"/>
          </w:tcPr>
          <w:p>
            <w:pPr>
              <w:keepNext/>
              <w:spacing w:before="20" w:after="20"/>
            </w:pPr>
            <w:r>
              <w:rPr>
                <w:rFonts w:ascii="游ゴシック" w:hAnsi="游ゴシック" w:eastAsia="游ゴシック"/>
                <w:b w:val="0"/>
                <w:i w:val="0"/>
                <w:sz w:val="17"/>
              </w:rPr>
              <w:t>第9章　雇用・就業、経済的自立の支援</w:t>
            </w:r>
          </w:p>
        </w:tc>
        <w:tc>
          <w:tcPr>
            <w:tcW w:type="dxa" w:w="737"/>
            <w:vAlign w:val="center"/>
          </w:tcPr>
          <w:p>
            <w:pPr>
              <w:keepNext/>
              <w:spacing w:before="20" w:after="20"/>
              <w:jc w:val="right"/>
            </w:pPr>
            <w:r>
              <w:rPr>
                <w:rFonts w:ascii="游ゴシック" w:hAnsi="游ゴシック" w:eastAsia="游ゴシック"/>
                <w:b w:val="0"/>
                <w:i w:val="0"/>
                <w:sz w:val="17"/>
              </w:rPr>
              <w:t>8</w:t>
            </w:r>
          </w:p>
        </w:tc>
        <w:tc>
          <w:tcPr>
            <w:tcW w:type="dxa" w:w="737"/>
            <w:vAlign w:val="center"/>
          </w:tcPr>
          <w:p>
            <w:pPr>
              <w:keepNext/>
              <w:spacing w:before="20" w:after="20"/>
              <w:jc w:val="right"/>
            </w:pPr>
            <w:r>
              <w:rPr>
                <w:rFonts w:ascii="游ゴシック" w:hAnsi="游ゴシック" w:eastAsia="游ゴシック"/>
                <w:b w:val="0"/>
                <w:i w:val="0"/>
                <w:sz w:val="17"/>
              </w:rPr>
              <w:t>14</w:t>
            </w:r>
          </w:p>
        </w:tc>
        <w:tc>
          <w:tcPr>
            <w:tcW w:type="dxa" w:w="1928"/>
            <w:vAlign w:val="center"/>
          </w:tcPr>
          <w:p>
            <w:pPr>
              <w:keepNext/>
              <w:spacing w:before="20" w:after="20"/>
            </w:pPr>
            <w:r>
              <w:rPr>
                <w:rFonts w:ascii="游ゴシック" w:hAnsi="游ゴシック" w:eastAsia="游ゴシック"/>
                <w:b/>
                <w:i w:val="0"/>
                <w:sz w:val="17"/>
              </w:rPr>
              <w:t>第9章</w:t>
            </w:r>
            <w:r>
              <w:rPr>
                <w:rFonts w:ascii="游ゴシック" w:hAnsi="游ゴシック" w:eastAsia="游ゴシック"/>
                <w:b w:val="0"/>
                <w:i w:val="0"/>
                <w:sz w:val="17"/>
              </w:rPr>
              <w:t xml:space="preserve">　雇用・就業、経済的自立の支援</w:t>
            </w:r>
          </w:p>
        </w:tc>
        <w:tc>
          <w:tcPr>
            <w:tcW w:type="dxa" w:w="3742"/>
            <w:vAlign w:val="center"/>
          </w:tcPr>
          <w:p>
            <w:pPr>
              <w:keepNext/>
              <w:spacing w:before="20" w:after="20"/>
            </w:pPr>
            <w:r>
              <w:rPr>
                <w:rFonts w:ascii="游ゴシック" w:hAnsi="游ゴシック" w:eastAsia="游ゴシック"/>
                <w:b/>
                <w:i w:val="0"/>
                <w:sz w:val="17"/>
              </w:rPr>
              <w:t>就労選択支援（令和7年10月創設）を第1節に加えます</w:t>
            </w:r>
          </w:p>
        </w:tc>
      </w:tr>
      <w:tr>
        <w:tc>
          <w:tcPr>
            <w:tcW w:type="dxa" w:w="2608"/>
            <w:vAlign w:val="center"/>
          </w:tcPr>
          <w:p>
            <w:pPr>
              <w:spacing w:before="20" w:after="20"/>
            </w:pPr>
            <w:r>
              <w:rPr>
                <w:rFonts w:ascii="游ゴシック" w:hAnsi="游ゴシック" w:eastAsia="游ゴシック"/>
                <w:b w:val="0"/>
                <w:i w:val="0"/>
                <w:sz w:val="17"/>
              </w:rPr>
              <w:t>第10章　文化芸術活動・スポーツ活動等の進行</w:t>
            </w:r>
          </w:p>
        </w:tc>
        <w:tc>
          <w:tcPr>
            <w:tcW w:type="dxa" w:w="737"/>
            <w:vAlign w:val="center"/>
          </w:tcPr>
          <w:p>
            <w:pPr>
              <w:spacing w:before="20" w:after="20"/>
              <w:jc w:val="right"/>
            </w:pPr>
            <w:r>
              <w:rPr>
                <w:rFonts w:ascii="游ゴシック" w:hAnsi="游ゴシック" w:eastAsia="游ゴシック"/>
                <w:b w:val="0"/>
                <w:i w:val="0"/>
                <w:sz w:val="17"/>
              </w:rPr>
              <w:t>2</w:t>
            </w:r>
          </w:p>
        </w:tc>
        <w:tc>
          <w:tcPr>
            <w:tcW w:type="dxa" w:w="737"/>
            <w:vAlign w:val="center"/>
          </w:tcPr>
          <w:p>
            <w:pPr>
              <w:spacing w:before="20" w:after="20"/>
              <w:jc w:val="right"/>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i w:val="0"/>
                <w:sz w:val="17"/>
              </w:rPr>
              <w:t>第10章</w:t>
            </w:r>
            <w:r>
              <w:rPr>
                <w:rFonts w:ascii="游ゴシック" w:hAnsi="游ゴシック" w:eastAsia="游ゴシック"/>
                <w:b w:val="0"/>
                <w:i w:val="0"/>
                <w:sz w:val="17"/>
              </w:rPr>
              <w:t xml:space="preserve">　文化芸術活動・スポーツ等の振興</w:t>
            </w:r>
          </w:p>
        </w:tc>
        <w:tc>
          <w:tcPr>
            <w:tcW w:type="dxa" w:w="3742"/>
            <w:vAlign w:val="center"/>
          </w:tcPr>
          <w:p>
            <w:pPr>
              <w:spacing w:before="20" w:after="20"/>
            </w:pPr>
            <w:r>
              <w:rPr>
                <w:rFonts w:ascii="游ゴシック" w:hAnsi="游ゴシック" w:eastAsia="游ゴシック"/>
                <w:b/>
                <w:i w:val="0"/>
                <w:sz w:val="17"/>
              </w:rPr>
              <w:t>3つの節を立てます。</w:t>
            </w:r>
            <w:r>
              <w:rPr>
                <w:rFonts w:ascii="游ゴシック" w:hAnsi="游ゴシック" w:eastAsia="游ゴシック"/>
                <w:b w:val="0"/>
                <w:i w:val="0"/>
                <w:sz w:val="17"/>
              </w:rPr>
              <w:t>前回の節の名は第9章のものが入っていました（下記）</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資料：おのまち障がい者基本計画・第7期障がい福祉計画・第3期障がい児福祉計画（令和6年3月）第2部。</w:t>
      </w:r>
      <w:r>
        <w:rPr>
          <w:rFonts w:ascii="游ゴシック" w:hAnsi="游ゴシック" w:eastAsia="游ゴシック"/>
          <w:b/>
          <w:i w:val="0"/>
          <w:sz w:val="17"/>
        </w:rPr>
        <w:t>項目は「施策の方向」の①②③…、取組はその下の○の数</w:t>
      </w:r>
      <w:r>
        <w:rPr>
          <w:rFonts w:ascii="游ゴシック" w:hAnsi="游ゴシック" w:eastAsia="游ゴシック"/>
          <w:b w:val="0"/>
          <w:i w:val="0"/>
          <w:sz w:val="17"/>
        </w:rPr>
        <w:t>を原本から数えたものです（`ono_shogai_zenkai.py`）。</w:t>
      </w:r>
      <w:r>
        <w:rPr>
          <w:rFonts w:ascii="游ゴシック" w:hAnsi="游ゴシック" w:eastAsia="游ゴシック"/>
          <w:b/>
          <w:i w:val="0"/>
          <w:sz w:val="17"/>
        </w:rPr>
        <w:t>各取組が実際にどこまで行われたかは【町データ待ち】です。</w:t>
      </w:r>
    </w:p>
    <w:p>
      <w:pPr>
        <w:spacing w:after="120"/>
      </w:pPr>
    </w:p>
    <w:p>
      <w:pPr>
        <w:spacing w:before="60" w:after="60"/>
      </w:pPr>
      <w:r>
        <w:rPr>
          <w:rFonts w:ascii="游ゴシック" w:hAnsi="游ゴシック" w:eastAsia="游ゴシック"/>
          <w:b/>
          <w:i w:val="0"/>
          <w:sz w:val="21"/>
        </w:rPr>
        <w:t>分野によって厚みが違います。</w:t>
      </w:r>
      <w:r>
        <w:rPr>
          <w:rFonts w:ascii="游ゴシック" w:hAnsi="游ゴシック" w:eastAsia="游ゴシック"/>
          <w:b w:val="0"/>
          <w:i w:val="0"/>
          <w:sz w:val="21"/>
        </w:rPr>
        <w:t>保健・医療（9項目18取組）と自立した生活の支援（9項目18取組）が最も厚く、</w:t>
      </w:r>
      <w:r>
        <w:rPr>
          <w:rFonts w:ascii="游ゴシック" w:hAnsi="游ゴシック" w:eastAsia="游ゴシック"/>
          <w:b/>
          <w:i w:val="0"/>
          <w:sz w:val="21"/>
        </w:rPr>
        <w:t>情報アクセシビリティ（3項目4取組）と文化芸術活動・スポーツ（2項目5取組）が最も薄い</w:t>
      </w:r>
      <w:r>
        <w:rPr>
          <w:rFonts w:ascii="游ゴシック" w:hAnsi="游ゴシック" w:eastAsia="游ゴシック"/>
          <w:b w:val="0"/>
          <w:i w:val="0"/>
          <w:sz w:val="21"/>
        </w:rPr>
        <w:t>構成でした。</w:t>
      </w:r>
      <w:r>
        <w:rPr>
          <w:rFonts w:ascii="游ゴシック" w:hAnsi="游ゴシック" w:eastAsia="游ゴシック"/>
          <w:b/>
          <w:i w:val="0"/>
          <w:sz w:val="21"/>
        </w:rPr>
        <w:t>本計画では、情報アクセシビリティに3つの節を立てて厚くします。</w:t>
      </w:r>
      <w:r>
        <w:rPr>
          <w:rFonts w:ascii="游ゴシック" w:hAnsi="游ゴシック" w:eastAsia="游ゴシック"/>
          <w:b w:val="0"/>
          <w:i w:val="0"/>
          <w:sz w:val="21"/>
        </w:rPr>
        <w:t>令和7年4月に町条例が施行されたためです（第2部第4章）。</w:t>
      </w:r>
    </w:p>
    <w:p>
      <w:pPr>
        <w:spacing w:after="120"/>
      </w:pPr>
    </w:p>
    <w:p>
      <w:pPr>
        <w:spacing w:before="60" w:after="60"/>
      </w:pPr>
      <w:r>
        <w:rPr>
          <w:rFonts w:ascii="游ゴシック" w:hAnsi="游ゴシック" w:eastAsia="游ゴシック"/>
          <w:b/>
          <w:i w:val="0"/>
          <w:sz w:val="21"/>
        </w:rPr>
        <w:t>9つの分野はすべて引き継ぎます。</w:t>
      </w:r>
      <w:r>
        <w:rPr>
          <w:rFonts w:ascii="游ゴシック" w:hAnsi="游ゴシック" w:eastAsia="游ゴシック"/>
          <w:b w:val="0"/>
          <w:i w:val="0"/>
          <w:sz w:val="21"/>
        </w:rPr>
        <w:t>そのうえで、本計画では次の3つを組み替えます。</w:t>
      </w:r>
    </w:p>
    <w:p>
      <w:pPr>
        <w:spacing w:before="60" w:after="60"/>
      </w:pPr>
      <w:r>
        <w:rPr>
          <w:rFonts w:ascii="游ゴシック" w:hAnsi="游ゴシック" w:eastAsia="游ゴシック"/>
          <w:b/>
          <w:i w:val="0"/>
          <w:sz w:val="21"/>
        </w:rPr>
        <w:t>①意思決定支援を、前回の第7章（自立した生活の支援）から第2章（差別解消・権利擁護）の独立した節に移します。</w:t>
      </w:r>
      <w:r>
        <w:rPr>
          <w:rFonts w:ascii="游ゴシック" w:hAnsi="游ゴシック" w:eastAsia="游ゴシック"/>
          <w:b w:val="0"/>
          <w:i w:val="0"/>
          <w:sz w:val="21"/>
        </w:rPr>
        <w:t>基本指針が権利擁護の文脈で求めているものだからです。</w:t>
      </w:r>
    </w:p>
    <w:p>
      <w:pPr>
        <w:spacing w:before="60" w:after="60"/>
      </w:pPr>
      <w:r>
        <w:rPr>
          <w:rFonts w:ascii="游ゴシック" w:hAnsi="游ゴシック" w:eastAsia="游ゴシック"/>
          <w:b/>
          <w:i w:val="0"/>
          <w:sz w:val="21"/>
        </w:rPr>
        <w:t>②前回の第7章3（障がいのある子どもに対する支援の充実）を、第6章3（医療的ケア児等への支援）と第8章（教育の振興）に分けます。</w:t>
      </w:r>
      <w:r>
        <w:rPr>
          <w:rFonts w:ascii="游ゴシック" w:hAnsi="游ゴシック" w:eastAsia="游ゴシック"/>
          <w:b w:val="0"/>
          <w:i w:val="0"/>
          <w:sz w:val="21"/>
        </w:rPr>
        <w:t>医療的ケア児支援法の改正により、支援の対象に18歳以上の医療的ケア児等・重症心身障害者が加わったためです。</w:t>
      </w:r>
    </w:p>
    <w:p>
      <w:pPr>
        <w:spacing w:before="60" w:after="60"/>
      </w:pPr>
      <w:r>
        <w:rPr>
          <w:rFonts w:ascii="游ゴシック" w:hAnsi="游ゴシック" w:eastAsia="游ゴシック"/>
          <w:b/>
          <w:i w:val="0"/>
          <w:sz w:val="21"/>
        </w:rPr>
        <w:t>③前回の第4章（情報アクセシビリティ）には節がありませんでした。</w:t>
      </w:r>
      <w:r>
        <w:rPr>
          <w:rFonts w:ascii="游ゴシック" w:hAnsi="游ゴシック" w:eastAsia="游ゴシック"/>
          <w:b/>
          <w:i w:val="0"/>
          <w:sz w:val="21"/>
        </w:rPr>
        <w:t>令和7年4月の町条例の施行を受けて、3つの節を立てます。</w:t>
      </w:r>
    </w:p>
    <w:p>
      <w:pPr>
        <w:spacing w:after="120"/>
      </w:pPr>
    </w:p>
    <w:p>
      <w:pPr>
        <w:spacing w:before="60" w:after="60"/>
      </w:pPr>
      <w:r>
        <w:rPr>
          <w:rFonts w:ascii="游ゴシック" w:hAnsi="游ゴシック" w:eastAsia="游ゴシック"/>
          <w:b/>
          <w:i w:val="0"/>
          <w:sz w:val="21"/>
        </w:rPr>
        <w:t>前回計画には、本計画で繰り返してはならない誤記が2件あります。</w:t>
      </w:r>
    </w:p>
    <w:p>
      <w:pPr>
        <w:keepNext/>
        <w:spacing w:before="200" w:after="40"/>
      </w:pPr>
      <w:r>
        <w:rPr>
          <w:rFonts w:ascii="游ゴシック" w:hAnsi="游ゴシック" w:eastAsia="游ゴシック"/>
          <w:b/>
          <w:i w:val="0"/>
          <w:color w:val="1F4D78"/>
          <w:sz w:val="22"/>
        </w:rPr>
        <w:t>【表15】第1部第3章　現行計画の評価と課題（5）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175"/>
        <w:gridCol w:w="4309"/>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正しくは</w:t>
            </w:r>
          </w:p>
        </w:tc>
      </w:tr>
      <w:tr>
        <w:tc>
          <w:tcPr>
            <w:tcW w:type="dxa" w:w="2268"/>
            <w:vAlign w:val="center"/>
          </w:tcPr>
          <w:p>
            <w:pPr>
              <w:keepNext/>
              <w:spacing w:before="20" w:after="20"/>
            </w:pPr>
            <w:r>
              <w:rPr>
                <w:rFonts w:ascii="游ゴシック" w:hAnsi="游ゴシック" w:eastAsia="游ゴシック"/>
                <w:b w:val="0"/>
                <w:i w:val="0"/>
                <w:sz w:val="17"/>
              </w:rPr>
              <w:t>第10章のページヘッダ</w:t>
            </w:r>
          </w:p>
        </w:tc>
        <w:tc>
          <w:tcPr>
            <w:tcW w:type="dxa" w:w="3175"/>
            <w:vAlign w:val="center"/>
          </w:tcPr>
          <w:p>
            <w:pPr>
              <w:keepNext/>
              <w:spacing w:before="20" w:after="20"/>
            </w:pPr>
            <w:r>
              <w:rPr>
                <w:rFonts w:ascii="游ゴシック" w:hAnsi="游ゴシック" w:eastAsia="游ゴシック"/>
                <w:b w:val="0"/>
                <w:i w:val="0"/>
                <w:sz w:val="17"/>
              </w:rPr>
              <w:t>文化芸術活動・スポーツ活動等の</w:t>
            </w:r>
            <w:r>
              <w:rPr>
                <w:rFonts w:ascii="游ゴシック" w:hAnsi="游ゴシック" w:eastAsia="游ゴシック"/>
                <w:b/>
                <w:i w:val="0"/>
                <w:sz w:val="17"/>
              </w:rPr>
              <w:t>進行</w:t>
            </w:r>
          </w:p>
        </w:tc>
        <w:tc>
          <w:tcPr>
            <w:tcW w:type="dxa" w:w="4309"/>
            <w:vAlign w:val="center"/>
          </w:tcPr>
          <w:p>
            <w:pPr>
              <w:keepNext/>
              <w:spacing w:before="20" w:after="20"/>
            </w:pPr>
            <w:r>
              <w:rPr>
                <w:rFonts w:ascii="游ゴシック" w:hAnsi="游ゴシック" w:eastAsia="游ゴシック"/>
                <w:b w:val="0"/>
                <w:i w:val="0"/>
                <w:sz w:val="17"/>
              </w:rPr>
              <w:t>目次と本文の見出しは「</w:t>
            </w:r>
            <w:r>
              <w:rPr>
                <w:rFonts w:ascii="游ゴシック" w:hAnsi="游ゴシック" w:eastAsia="游ゴシック"/>
                <w:b/>
                <w:i w:val="0"/>
                <w:sz w:val="17"/>
              </w:rPr>
              <w:t>振興</w:t>
            </w:r>
            <w:r>
              <w:rPr>
                <w:rFonts w:ascii="游ゴシック" w:hAnsi="游ゴシック" w:eastAsia="游ゴシック"/>
                <w:b w:val="0"/>
                <w:i w:val="0"/>
                <w:sz w:val="17"/>
              </w:rPr>
              <w:t>」。ヘッダだけが誤り</w:t>
            </w:r>
          </w:p>
        </w:tc>
      </w:tr>
      <w:tr>
        <w:tc>
          <w:tcPr>
            <w:tcW w:type="dxa" w:w="2268"/>
            <w:vAlign w:val="center"/>
          </w:tcPr>
          <w:p>
            <w:pPr>
              <w:spacing w:before="20" w:after="20"/>
            </w:pPr>
            <w:r>
              <w:rPr>
                <w:rFonts w:ascii="游ゴシック" w:hAnsi="游ゴシック" w:eastAsia="游ゴシック"/>
                <w:b w:val="0"/>
                <w:i w:val="0"/>
                <w:sz w:val="17"/>
              </w:rPr>
              <w:t>第10章の節の名</w:t>
            </w:r>
          </w:p>
        </w:tc>
        <w:tc>
          <w:tcPr>
            <w:tcW w:type="dxa" w:w="3175"/>
            <w:vAlign w:val="center"/>
          </w:tcPr>
          <w:p>
            <w:pPr>
              <w:spacing w:before="20" w:after="20"/>
            </w:pPr>
            <w:r>
              <w:rPr>
                <w:rFonts w:ascii="游ゴシック" w:hAnsi="游ゴシック" w:eastAsia="游ゴシック"/>
                <w:b w:val="0"/>
                <w:i w:val="0"/>
                <w:sz w:val="17"/>
              </w:rPr>
              <w:t xml:space="preserve">１ </w:t>
            </w:r>
            <w:r>
              <w:rPr>
                <w:rFonts w:ascii="游ゴシック" w:hAnsi="游ゴシック" w:eastAsia="游ゴシック"/>
                <w:b/>
                <w:i w:val="0"/>
                <w:sz w:val="17"/>
              </w:rPr>
              <w:t>総合的な就労支援</w:t>
            </w:r>
          </w:p>
        </w:tc>
        <w:tc>
          <w:tcPr>
            <w:tcW w:type="dxa" w:w="4309"/>
            <w:vAlign w:val="center"/>
          </w:tcPr>
          <w:p>
            <w:pPr>
              <w:spacing w:before="20" w:after="20"/>
            </w:pPr>
            <w:r>
              <w:rPr>
                <w:rFonts w:ascii="游ゴシック" w:hAnsi="游ゴシック" w:eastAsia="游ゴシック"/>
                <w:b/>
                <w:i w:val="0"/>
                <w:sz w:val="17"/>
              </w:rPr>
              <w:t>第9章第1節の名がそのまま入っている。</w:t>
            </w:r>
            <w:r>
              <w:rPr>
                <w:rFonts w:ascii="游ゴシック" w:hAnsi="游ゴシック" w:eastAsia="游ゴシック"/>
                <w:b w:val="0"/>
                <w:i w:val="0"/>
                <w:sz w:val="17"/>
              </w:rPr>
              <w:t>章は文化芸術活動・スポーツ活動等の振興</w:t>
            </w:r>
          </w:p>
        </w:tc>
      </w:tr>
    </w:tbl>
    <w:p>
      <w:pPr>
        <w:spacing w:after="40"/>
      </w:pPr>
    </w:p>
    <w:p>
      <w:pPr>
        <w:spacing w:before="40" w:after="160"/>
        <w:ind w:left="113"/>
      </w:pPr>
      <w:r>
        <w:rPr>
          <w:rFonts w:ascii="游ゴシック" w:hAnsi="游ゴシック" w:eastAsia="游ゴシック"/>
          <w:b/>
          <w:i w:val="0"/>
          <w:sz w:val="17"/>
        </w:rPr>
        <w:t>※ いずれも第10章です。</w:t>
      </w:r>
      <w:r>
        <w:rPr>
          <w:rFonts w:ascii="游ゴシック" w:hAnsi="游ゴシック" w:eastAsia="游ゴシック"/>
          <w:b w:val="0"/>
          <w:i w:val="0"/>
          <w:sz w:val="17"/>
        </w:rPr>
        <w:t>節の名は第9章第1節の名がそのまま入っており、</w:t>
      </w:r>
      <w:r>
        <w:rPr>
          <w:rFonts w:ascii="游ゴシック" w:hAnsi="游ゴシック" w:eastAsia="游ゴシック"/>
          <w:b/>
          <w:i w:val="0"/>
          <w:sz w:val="17"/>
        </w:rPr>
        <w:t>章の中身（文化芸術活動・スポーツ活動）と合っていません。</w:t>
      </w:r>
      <w:r>
        <w:rPr>
          <w:rFonts w:ascii="游ゴシック" w:hAnsi="游ゴシック" w:eastAsia="游ゴシック"/>
          <w:b w:val="0"/>
          <w:i w:val="0"/>
          <w:sz w:val="17"/>
        </w:rPr>
        <w:t>本計画の第10章は、3つの節（文化芸術活動の振興／スポーツ・レクリエーションの振興／地域交流・社会参加の促進）を立てます。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【表16】第1部第3章　現行計画の評価と課題（6）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【表17】第2部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障がいのある方ご本人の意思を尊重した支援</w:t>
      </w:r>
      <w:r>
        <w:rPr>
          <w:rFonts w:ascii="游ゴシック" w:hAnsi="游ゴシック" w:eastAsia="游ゴシック"/>
          <w:b w:val="0"/>
          <w:i w:val="0"/>
          <w:sz w:val="21"/>
        </w:rPr>
        <w:t>を進めます（基本指針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【表18】第2部第2章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【表19】第2部第3章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手話に関する施策の推進に関する法律（令和7年6月）</w:t>
      </w:r>
      <w:r>
        <w:rPr>
          <w:rFonts w:ascii="游ゴシック" w:hAnsi="游ゴシック" w:eastAsia="游ゴシック"/>
          <w:b w:val="0"/>
          <w:i w:val="0"/>
          <w:sz w:val="21"/>
        </w:rPr>
        <w:t>が成立しています（</w:t>
      </w:r>
      <w:r>
        <w:rPr>
          <w:rFonts w:ascii="游ゴシック" w:hAnsi="游ゴシック" w:eastAsia="游ゴシック"/>
          <w:b/>
          <w:i w:val="0"/>
          <w:sz w:val="21"/>
        </w:rPr>
        <w:t>法律番号は原典で確かめたうえで記載します</w:t>
      </w:r>
      <w:r>
        <w:rPr>
          <w:rFonts w:ascii="游ゴシック" w:hAnsi="游ゴシック" w:eastAsia="游ゴシック"/>
          <w:b w:val="0"/>
          <w:i w:val="0"/>
          <w:sz w:val="21"/>
        </w:rPr>
        <w:t>）。</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【表20】第2部第4章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【表21】第2部第5章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を進めます。外出目的の最多が受診であることから、移動支援（第3章2）と一体で取り組みます。</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医療的ケア児等への支援に取り組みます。</w:t>
      </w:r>
      <w:r>
        <w:rPr>
          <w:rFonts w:ascii="游ゴシック" w:hAnsi="游ゴシック" w:eastAsia="游ゴシック"/>
          <w:b/>
          <w:i w:val="0"/>
          <w:sz w:val="21"/>
        </w:rPr>
        <w:t>医療的ケア児支援法の改正（令和8年法律第77号・令和9年4月1日施行）により、支援の対象に18歳以上の医療的ケア児等と重症心身障害者が加わりました。</w:t>
      </w:r>
      <w:r>
        <w:rPr>
          <w:rFonts w:ascii="游ゴシック" w:hAnsi="游ゴシック" w:eastAsia="游ゴシック"/>
          <w:b/>
          <w:i w:val="0"/>
          <w:sz w:val="21"/>
        </w:rPr>
        <w:t>本町も、成人期を含めて支援します。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就労支援（同法第11条の3）・住居の確保（同法第11条の4）</w:t>
      </w:r>
      <w:r>
        <w:rPr>
          <w:rFonts w:ascii="游ゴシック" w:hAnsi="游ゴシック" w:eastAsia="游ゴシック"/>
          <w:b w:val="0"/>
          <w:i w:val="0"/>
          <w:sz w:val="21"/>
        </w:rPr>
        <w:t>についても、関係機関と連携して取り組みます（第3部第1章⑧）。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【表22】第2部第6章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に力を入れます。短期入所・日中一時支援による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調査で最多に挙げられた事項です。</w:t>
      </w:r>
      <w:r>
        <w:rPr>
          <w:rFonts w:ascii="游ゴシック" w:hAnsi="游ゴシック" w:eastAsia="游ゴシック"/>
          <w:b w:val="0"/>
          <w:i w:val="0"/>
          <w:sz w:val="21"/>
        </w:rPr>
        <w:t>制度があっても知られていなければ使われません。</w:t>
      </w:r>
      <w:r>
        <w:rPr>
          <w:rFonts w:ascii="游ゴシック" w:hAnsi="游ゴシック" w:eastAsia="游ゴシック"/>
          <w:b/>
          <w:i w:val="0"/>
          <w:sz w:val="21"/>
        </w:rPr>
        <w:t>周知の方法まで含めて取り組みます。</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高齢者保健福祉計画と同じ考え方で取り扱います</w:t>
      </w:r>
      <w:r>
        <w:rPr>
          <w:rFonts w:ascii="游ゴシック" w:hAnsi="游ゴシック" w:eastAsia="游ゴシック"/>
          <w:b w:val="0"/>
          <w:i w:val="0"/>
          <w:sz w:val="21"/>
        </w:rPr>
        <w:t>（第1部第1章4-2の1番）。両計画を同時に策定していることを活かします。</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【表23】第2部第7章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w:t>
      </w:r>
      <w:r>
        <w:rPr>
          <w:rFonts w:ascii="游ゴシック" w:hAnsi="游ゴシック" w:eastAsia="游ゴシック"/>
          <w:b w:val="0"/>
          <w:i w:val="0"/>
          <w:sz w:val="21"/>
        </w:rPr>
        <w:t>に取り組みます。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【表24】第2部第8章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【表25】第2部第9章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【表26】第2部第10章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【表27】第3部第1章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i w:val="0"/>
                <w:sz w:val="17"/>
              </w:rPr>
              <w:t>令和4年度末26人に対し、移行31人（119.2％）・削減22人（84.6％）</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r>
              <w:rPr>
                <w:rFonts w:ascii="游ゴシック" w:hAnsi="游ゴシック" w:eastAsia="游ゴシック"/>
                <w:b/>
                <w:i w:val="0"/>
                <w:sz w:val="17"/>
              </w:rPr>
              <w:t>前回計画の目標値は成り立たない（下記）</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医療的ケア児支援法の改正を踏まえ、成人期（18歳以上の医療的ケア児等・重症心身障害者）を含む構えで設定。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⑧は、医療的ケア児支援法の改正により、支援の対象に18歳以上の医療的ケア児等と重症心身障害者が加わったことを踏まえた構えとします。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就労支援（第11条の3）・住居の確保（第11条の4）も新たに置かれており、成人期を含めて設定します。</w:t>
      </w:r>
    </w:p>
    <w:p>
      <w:pPr>
        <w:spacing w:after="120"/>
      </w:pPr>
    </w:p>
    <w:p>
      <w:pPr>
        <w:pStyle w:val="Heading3"/>
        <w:keepNext/>
        <w:spacing w:before="180" w:after="80"/>
      </w:pPr>
      <w:r>
        <w:rPr>
          <w:rFonts w:ascii="游ゴシック" w:hAnsi="游ゴシック" w:eastAsia="游ゴシック"/>
          <w:b/>
          <w:i w:val="0"/>
          <w:color w:val="1F4D78"/>
          <w:sz w:val="22"/>
        </w:rPr>
        <w:t>1-1　前回計画の成果目標①は成り立ちません</w:t>
      </w:r>
    </w:p>
    <w:p>
      <w:pPr>
        <w:spacing w:before="60" w:after="60"/>
      </w:pPr>
      <w:r>
        <w:rPr>
          <w:rFonts w:ascii="游ゴシック" w:hAnsi="游ゴシック" w:eastAsia="游ゴシック"/>
          <w:b/>
          <w:i w:val="0"/>
          <w:sz w:val="21"/>
        </w:rPr>
        <w:t>前回計画（第7期）は、施設入所者の地域生活移行の目標を次のように定めています。</w:t>
      </w:r>
    </w:p>
    <w:p>
      <w:pPr>
        <w:keepNext/>
        <w:spacing w:before="200" w:after="40"/>
      </w:pPr>
      <w:r>
        <w:rPr>
          <w:rFonts w:ascii="游ゴシック" w:hAnsi="游ゴシック" w:eastAsia="游ゴシック"/>
          <w:b/>
          <w:i w:val="0"/>
          <w:color w:val="1F4D78"/>
          <w:sz w:val="22"/>
        </w:rPr>
        <w:t>【表28】第3部第1章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474"/>
        <w:gridCol w:w="1587"/>
        <w:gridCol w:w="3288"/>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前回計画の値</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26人に対する割合</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3402"/>
            <w:vAlign w:val="center"/>
          </w:tcPr>
          <w:p>
            <w:pPr>
              <w:spacing w:before="20" w:after="20"/>
            </w:pPr>
            <w:r>
              <w:rPr>
                <w:rFonts w:ascii="游ゴシック" w:hAnsi="游ゴシック" w:eastAsia="游ゴシック"/>
                <w:b w:val="0"/>
                <w:i w:val="0"/>
                <w:sz w:val="17"/>
              </w:rPr>
              <w:t>令和4年度末の施設入所者数</w:t>
            </w:r>
          </w:p>
        </w:tc>
        <w:tc>
          <w:tcPr>
            <w:tcW w:type="dxa" w:w="1474"/>
            <w:vAlign w:val="center"/>
          </w:tcPr>
          <w:p>
            <w:pPr>
              <w:spacing w:before="20" w:after="20"/>
            </w:pPr>
            <w:r>
              <w:rPr>
                <w:rFonts w:ascii="游ゴシック" w:hAnsi="游ゴシック" w:eastAsia="游ゴシック"/>
                <w:b/>
                <w:i w:val="0"/>
                <w:sz w:val="17"/>
              </w:rPr>
              <w:t>26人</w:t>
            </w:r>
          </w:p>
        </w:tc>
        <w:tc>
          <w:tcPr>
            <w:tcW w:type="dxa" w:w="1587"/>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val="0"/>
                <w:i w:val="0"/>
                <w:sz w:val="17"/>
              </w:rPr>
              <w:t>基準となる人数</w:t>
            </w:r>
          </w:p>
        </w:tc>
      </w:tr>
      <w:tr>
        <w:tc>
          <w:tcPr>
            <w:tcW w:type="dxa" w:w="3402"/>
            <w:vAlign w:val="center"/>
          </w:tcPr>
          <w:p>
            <w:pPr>
              <w:keepNext/>
              <w:spacing w:before="20" w:after="20"/>
            </w:pPr>
            <w:r>
              <w:rPr>
                <w:rFonts w:ascii="游ゴシック" w:hAnsi="游ゴシック" w:eastAsia="游ゴシック"/>
                <w:b w:val="0"/>
                <w:i w:val="0"/>
                <w:sz w:val="17"/>
              </w:rPr>
              <w:t>【目標値】令和8年度末の地域生活移行者数</w:t>
            </w:r>
          </w:p>
        </w:tc>
        <w:tc>
          <w:tcPr>
            <w:tcW w:type="dxa" w:w="1474"/>
            <w:vAlign w:val="center"/>
          </w:tcPr>
          <w:p>
            <w:pPr>
              <w:keepNext/>
              <w:spacing w:before="20" w:after="20"/>
            </w:pPr>
            <w:r>
              <w:rPr>
                <w:rFonts w:ascii="游ゴシック" w:hAnsi="游ゴシック" w:eastAsia="游ゴシック"/>
                <w:b/>
                <w:i w:val="0"/>
                <w:sz w:val="17"/>
              </w:rPr>
              <w:t>31人</w:t>
            </w:r>
          </w:p>
        </w:tc>
        <w:tc>
          <w:tcPr>
            <w:tcW w:type="dxa" w:w="1587"/>
            <w:vAlign w:val="center"/>
          </w:tcPr>
          <w:p>
            <w:pPr>
              <w:keepNext/>
              <w:spacing w:before="20" w:after="20"/>
            </w:pPr>
            <w:r>
              <w:rPr>
                <w:rFonts w:ascii="游ゴシック" w:hAnsi="游ゴシック" w:eastAsia="游ゴシック"/>
                <w:b/>
                <w:i w:val="0"/>
                <w:sz w:val="17"/>
              </w:rPr>
              <w:t>119.2％</w:t>
            </w:r>
          </w:p>
        </w:tc>
        <w:tc>
          <w:tcPr>
            <w:tcW w:type="dxa" w:w="3288"/>
            <w:vAlign w:val="center"/>
          </w:tcPr>
          <w:p>
            <w:pPr>
              <w:keepNext/>
              <w:spacing w:before="20" w:after="20"/>
            </w:pPr>
            <w:r>
              <w:rPr>
                <w:rFonts w:ascii="游ゴシック" w:hAnsi="游ゴシック" w:eastAsia="游ゴシック"/>
                <w:b/>
                <w:i w:val="0"/>
                <w:sz w:val="17"/>
              </w:rPr>
              <w:t>入所者26人より多い人数が移行することはできません</w:t>
            </w:r>
          </w:p>
        </w:tc>
      </w:tr>
      <w:tr>
        <w:tc>
          <w:tcPr>
            <w:tcW w:type="dxa" w:w="3402"/>
            <w:vAlign w:val="center"/>
          </w:tcPr>
          <w:p>
            <w:pPr>
              <w:spacing w:before="20" w:after="20"/>
            </w:pPr>
            <w:r>
              <w:rPr>
                <w:rFonts w:ascii="游ゴシック" w:hAnsi="游ゴシック" w:eastAsia="游ゴシック"/>
                <w:b w:val="0"/>
                <w:i w:val="0"/>
                <w:sz w:val="17"/>
              </w:rPr>
              <w:t>【目標値】令和8年度末の削減見込者数</w:t>
            </w:r>
          </w:p>
        </w:tc>
        <w:tc>
          <w:tcPr>
            <w:tcW w:type="dxa" w:w="1474"/>
            <w:vAlign w:val="center"/>
          </w:tcPr>
          <w:p>
            <w:pPr>
              <w:spacing w:before="20" w:after="20"/>
            </w:pPr>
            <w:r>
              <w:rPr>
                <w:rFonts w:ascii="游ゴシック" w:hAnsi="游ゴシック" w:eastAsia="游ゴシック"/>
                <w:b/>
                <w:i w:val="0"/>
                <w:sz w:val="17"/>
              </w:rPr>
              <w:t>22人</w:t>
            </w:r>
          </w:p>
        </w:tc>
        <w:tc>
          <w:tcPr>
            <w:tcW w:type="dxa" w:w="1587"/>
            <w:vAlign w:val="center"/>
          </w:tcPr>
          <w:p>
            <w:pPr>
              <w:spacing w:before="20" w:after="20"/>
            </w:pPr>
            <w:r>
              <w:rPr>
                <w:rFonts w:ascii="游ゴシック" w:hAnsi="游ゴシック" w:eastAsia="游ゴシック"/>
                <w:b/>
                <w:i w:val="0"/>
                <w:sz w:val="17"/>
              </w:rPr>
              <w:t>84.6％</w:t>
            </w:r>
          </w:p>
        </w:tc>
        <w:tc>
          <w:tcPr>
            <w:tcW w:type="dxa" w:w="3288"/>
            <w:vAlign w:val="center"/>
          </w:tcPr>
          <w:p>
            <w:pPr>
              <w:spacing w:before="20" w:after="20"/>
            </w:pPr>
            <w:r>
              <w:rPr>
                <w:rFonts w:ascii="游ゴシック" w:hAnsi="游ゴシック" w:eastAsia="游ゴシック"/>
                <w:b/>
                <w:i w:val="0"/>
                <w:sz w:val="17"/>
              </w:rPr>
              <w:t>削減後は4人。しかし同じ計画の見込量は施設入所支援15人です</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w:t>
      </w:r>
      <w:r>
        <w:rPr>
          <w:rFonts w:ascii="游ゴシック" w:hAnsi="游ゴシック" w:eastAsia="游ゴシック"/>
          <w:b/>
          <w:i w:val="0"/>
          <w:sz w:val="17"/>
        </w:rPr>
        <w:t>国の基本指針は「令和4年度末時点の施設入所者の6％以上が令和8年度末までに地域生活へ移行」「令和8年度末時点の施設入所者を令和4年度末時点から5％以上削減」としています。</w:t>
      </w:r>
      <w:r>
        <w:rPr>
          <w:rFonts w:ascii="游ゴシック" w:hAnsi="游ゴシック" w:eastAsia="游ゴシック"/>
          <w:b w:val="0"/>
          <w:i w:val="0"/>
          <w:sz w:val="17"/>
        </w:rPr>
        <w:t>26人に当てはめると、</w:t>
      </w:r>
      <w:r>
        <w:rPr>
          <w:rFonts w:ascii="游ゴシック" w:hAnsi="游ゴシック" w:eastAsia="游ゴシック"/>
          <w:b/>
          <w:i w:val="0"/>
          <w:sz w:val="17"/>
        </w:rPr>
        <w:t>移行は1.56人（2人）、削減は1.30人（2人）</w:t>
      </w:r>
      <w:r>
        <w:rPr>
          <w:rFonts w:ascii="游ゴシック" w:hAnsi="游ゴシック" w:eastAsia="游ゴシック"/>
          <w:b w:val="0"/>
          <w:i w:val="0"/>
          <w:sz w:val="17"/>
        </w:rPr>
        <w:t>です。</w:t>
      </w:r>
    </w:p>
    <w:p>
      <w:pPr>
        <w:spacing w:after="120"/>
      </w:pPr>
    </w:p>
    <w:p>
      <w:pPr>
        <w:spacing w:before="60" w:after="60"/>
      </w:pPr>
      <w:r>
        <w:rPr>
          <w:rFonts w:ascii="游ゴシック" w:hAnsi="游ゴシック" w:eastAsia="游ゴシック"/>
          <w:b/>
          <w:i w:val="0"/>
          <w:sz w:val="21"/>
        </w:rPr>
        <w:t>第8期は、令和7年度末の確定値を基準に、国の考え方に当てはめて設定します。</w:t>
      </w:r>
      <w:r>
        <w:rPr>
          <w:rFonts w:ascii="游ゴシック" w:hAnsi="游ゴシック" w:eastAsia="游ゴシック"/>
          <w:b/>
          <w:i w:val="0"/>
          <w:sz w:val="21"/>
        </w:rPr>
        <w:t>成果目標と見込量（第2章）が互いに矛盾しないことを、設定のつど確かめます。</w:t>
      </w:r>
      <w:r>
        <w:rPr>
          <w:rFonts w:ascii="游ゴシック" w:hAnsi="游ゴシック" w:eastAsia="游ゴシック"/>
          <w:b w:val="0"/>
          <w:i w:val="0"/>
          <w:sz w:val="21"/>
        </w:rPr>
        <w:t>前回計画の目標値の由来は町に確かめています（【町データ待ち】）。</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【表29】第3部第1章　成果目標（3）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【表30】第3部第2章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pStyle w:val="Heading3"/>
        <w:keepNext/>
        <w:spacing w:before="180" w:after="80"/>
      </w:pPr>
      <w:r>
        <w:rPr>
          <w:rFonts w:ascii="游ゴシック" w:hAnsi="游ゴシック" w:eastAsia="游ゴシック"/>
          <w:b/>
          <w:i w:val="0"/>
          <w:color w:val="1F4D78"/>
          <w:sz w:val="22"/>
        </w:rPr>
        <w:t>2-1　量は「人数×1人あたり日数」で置きます</w:t>
      </w:r>
    </w:p>
    <w:p>
      <w:pPr>
        <w:spacing w:before="60" w:after="60"/>
      </w:pPr>
      <w:r>
        <w:rPr>
          <w:rFonts w:ascii="游ゴシック" w:hAnsi="游ゴシック" w:eastAsia="游ゴシック"/>
          <w:b/>
          <w:i w:val="0"/>
          <w:sz w:val="21"/>
        </w:rPr>
        <w:t>第6期の見込量と実績を突き合わせると、人数はおおむね見込みどおりである一方、量（人日）が大きく下回っていました</w:t>
      </w:r>
      <w:r>
        <w:rPr>
          <w:rFonts w:ascii="游ゴシック" w:hAnsi="游ゴシック" w:eastAsia="游ゴシック"/>
          <w:b w:val="0"/>
          <w:i w:val="0"/>
          <w:sz w:val="21"/>
        </w:rPr>
        <w:t>（第1部第3章2）。</w:t>
      </w:r>
      <w:r>
        <w:rPr>
          <w:rFonts w:ascii="游ゴシック" w:hAnsi="游ゴシック" w:eastAsia="游ゴシック"/>
          <w:b/>
          <w:i w:val="0"/>
          <w:sz w:val="21"/>
        </w:rPr>
        <w:t>原因は、1人あたりの利用日数を高く見積もっていたことにあります。</w:t>
      </w:r>
    </w:p>
    <w:p>
      <w:pPr>
        <w:keepNext/>
        <w:spacing w:before="200" w:after="40"/>
      </w:pPr>
      <w:r>
        <w:rPr>
          <w:rFonts w:ascii="游ゴシック" w:hAnsi="游ゴシック" w:eastAsia="游ゴシック"/>
          <w:b/>
          <w:i w:val="0"/>
          <w:color w:val="1F4D78"/>
          <w:sz w:val="22"/>
        </w:rPr>
        <w:t>【表31】第3部第2章　活動指標・サービス見込量（2）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928"/>
        <w:gridCol w:w="1928"/>
        <w:gridCol w:w="340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第6期の見込み</w:t>
            </w:r>
            <w:r>
              <w:rPr>
                <w:rFonts w:ascii="游ゴシック" w:hAnsi="游ゴシック" w:eastAsia="游ゴシック"/>
                <w:b/>
                <w:i w:val="0"/>
                <w:color w:val="FFFFFF"/>
                <w:sz w:val="17"/>
              </w:rPr>
              <w:br/>
              <w:t>1人あたり日数</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第6期の実績</w:t>
            </w:r>
            <w:r>
              <w:rPr>
                <w:rFonts w:ascii="游ゴシック" w:hAnsi="游ゴシック" w:eastAsia="游ゴシック"/>
                <w:b/>
                <w:i w:val="0"/>
                <w:color w:val="FFFFFF"/>
                <w:sz w:val="17"/>
              </w:rPr>
              <w:br/>
              <w:t>1人あたり日数</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494"/>
            <w:vAlign w:val="center"/>
          </w:tcPr>
          <w:p>
            <w:pPr>
              <w:spacing w:before="20" w:after="20"/>
            </w:pPr>
            <w:r>
              <w:rPr>
                <w:rFonts w:ascii="游ゴシック" w:hAnsi="游ゴシック" w:eastAsia="游ゴシック"/>
                <w:b w:val="0"/>
                <w:i w:val="0"/>
                <w:sz w:val="17"/>
              </w:rPr>
              <w:t>児童発達支援</w:t>
            </w:r>
          </w:p>
        </w:tc>
        <w:tc>
          <w:tcPr>
            <w:tcW w:type="dxa" w:w="1928"/>
            <w:vAlign w:val="center"/>
          </w:tcPr>
          <w:p>
            <w:pPr>
              <w:spacing w:before="20" w:after="20"/>
              <w:jc w:val="right"/>
            </w:pPr>
            <w:r>
              <w:rPr>
                <w:rFonts w:ascii="游ゴシック" w:hAnsi="游ゴシック" w:eastAsia="游ゴシック"/>
                <w:b w:val="0"/>
                <w:i w:val="0"/>
                <w:sz w:val="17"/>
              </w:rPr>
              <w:t>8.3日</w:t>
            </w:r>
          </w:p>
        </w:tc>
        <w:tc>
          <w:tcPr>
            <w:tcW w:type="dxa" w:w="1928"/>
            <w:vAlign w:val="center"/>
          </w:tcPr>
          <w:p>
            <w:pPr>
              <w:spacing w:before="20" w:after="20"/>
              <w:jc w:val="right"/>
            </w:pPr>
            <w:r>
              <w:rPr>
                <w:rFonts w:ascii="游ゴシック" w:hAnsi="游ゴシック" w:eastAsia="游ゴシック"/>
                <w:b w:val="0"/>
                <w:i w:val="0"/>
                <w:sz w:val="17"/>
              </w:rPr>
              <w:t>4.0〜5.0日</w:t>
            </w:r>
          </w:p>
        </w:tc>
        <w:tc>
          <w:tcPr>
            <w:tcW w:type="dxa" w:w="3402"/>
            <w:vAlign w:val="center"/>
          </w:tcPr>
          <w:p>
            <w:pPr>
              <w:spacing w:before="20" w:after="20"/>
            </w:pPr>
            <w:r>
              <w:rPr>
                <w:rFonts w:ascii="游ゴシック" w:hAnsi="游ゴシック" w:eastAsia="游ゴシック"/>
                <w:b/>
                <w:i w:val="0"/>
                <w:sz w:val="17"/>
              </w:rPr>
              <w:t>町内に療育機関がない</w:t>
            </w:r>
            <w:r>
              <w:rPr>
                <w:rFonts w:ascii="游ゴシック" w:hAnsi="游ゴシック" w:eastAsia="游ゴシック"/>
                <w:b w:val="0"/>
                <w:i w:val="0"/>
                <w:sz w:val="17"/>
              </w:rPr>
              <w:t>（第2部第8章1）</w:t>
            </w:r>
          </w:p>
        </w:tc>
      </w:tr>
      <w:tr>
        <w:tc>
          <w:tcPr>
            <w:tcW w:type="dxa" w:w="2494"/>
            <w:vAlign w:val="center"/>
          </w:tcPr>
          <w:p>
            <w:pPr>
              <w:spacing w:before="20" w:after="20"/>
            </w:pPr>
            <w:r>
              <w:rPr>
                <w:rFonts w:ascii="游ゴシック" w:hAnsi="游ゴシック" w:eastAsia="游ゴシック"/>
                <w:b w:val="0"/>
                <w:i w:val="0"/>
                <w:sz w:val="17"/>
              </w:rPr>
              <w:t>就労移行支援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11.0〜18.0日</w:t>
            </w:r>
          </w:p>
        </w:tc>
        <w:tc>
          <w:tcPr>
            <w:tcW w:type="dxa" w:w="3402"/>
            <w:vAlign w:val="center"/>
          </w:tcPr>
          <w:p>
            <w:pPr>
              <w:spacing w:before="20" w:after="20"/>
            </w:pPr>
            <w:r>
              <w:rPr>
                <w:rFonts w:ascii="游ゴシック" w:hAnsi="游ゴシック" w:eastAsia="游ゴシック"/>
                <w:b w:val="0"/>
                <w:i w:val="0"/>
                <w:sz w:val="17"/>
              </w:rPr>
              <w:t>実績が年々増えている（11.0→18.0日）</w:t>
            </w:r>
          </w:p>
        </w:tc>
      </w:tr>
      <w:tr>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1928"/>
            <w:vAlign w:val="center"/>
          </w:tcPr>
          <w:p>
            <w:pPr>
              <w:spacing w:before="20" w:after="20"/>
              <w:jc w:val="right"/>
            </w:pPr>
            <w:r>
              <w:rPr>
                <w:rFonts w:ascii="游ゴシック" w:hAnsi="游ゴシック" w:eastAsia="游ゴシック"/>
                <w:b w:val="0"/>
                <w:i w:val="0"/>
                <w:sz w:val="17"/>
              </w:rPr>
              <w:t>―</w:t>
            </w:r>
          </w:p>
        </w:tc>
        <w:tc>
          <w:tcPr>
            <w:tcW w:type="dxa" w:w="1928"/>
            <w:vAlign w:val="center"/>
          </w:tcPr>
          <w:p>
            <w:pPr>
              <w:spacing w:before="20" w:after="20"/>
              <w:jc w:val="right"/>
            </w:pPr>
            <w:r>
              <w:rPr>
                <w:rFonts w:ascii="游ゴシック" w:hAnsi="游ゴシック" w:eastAsia="游ゴシック"/>
                <w:b w:val="0"/>
                <w:i w:val="0"/>
                <w:sz w:val="17"/>
              </w:rPr>
              <w:t>21.0日</w:t>
            </w:r>
          </w:p>
        </w:tc>
        <w:tc>
          <w:tcPr>
            <w:tcW w:type="dxa" w:w="3402"/>
            <w:vAlign w:val="center"/>
          </w:tcPr>
          <w:p>
            <w:pPr>
              <w:spacing w:before="20" w:after="20"/>
            </w:pPr>
            <w:r>
              <w:rPr>
                <w:rFonts w:ascii="游ゴシック" w:hAnsi="游ゴシック" w:eastAsia="游ゴシック"/>
                <w:b/>
                <w:i w:val="0"/>
                <w:sz w:val="17"/>
              </w:rPr>
              <w:t>第6期は見込み0。</w:t>
            </w:r>
            <w:r>
              <w:rPr>
                <w:rFonts w:ascii="游ゴシック" w:hAnsi="游ゴシック" w:eastAsia="游ゴシック"/>
                <w:b w:val="0"/>
                <w:i w:val="0"/>
                <w:sz w:val="17"/>
              </w:rPr>
              <w:t>実績のみ21.0日</w:t>
            </w:r>
          </w:p>
        </w:tc>
      </w:tr>
      <w:tr>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1928"/>
            <w:vAlign w:val="center"/>
          </w:tcPr>
          <w:p>
            <w:pPr>
              <w:spacing w:before="20" w:after="20"/>
              <w:jc w:val="right"/>
            </w:pPr>
            <w:r>
              <w:rPr>
                <w:rFonts w:ascii="游ゴシック" w:hAnsi="游ゴシック" w:eastAsia="游ゴシック"/>
                <w:b w:val="0"/>
                <w:i w:val="0"/>
                <w:sz w:val="17"/>
              </w:rPr>
              <w:t>23.2〜25.9日</w:t>
            </w:r>
          </w:p>
        </w:tc>
        <w:tc>
          <w:tcPr>
            <w:tcW w:type="dxa" w:w="1928"/>
            <w:vAlign w:val="center"/>
          </w:tcPr>
          <w:p>
            <w:pPr>
              <w:spacing w:before="20" w:after="20"/>
              <w:jc w:val="right"/>
            </w:pPr>
            <w:r>
              <w:rPr>
                <w:rFonts w:ascii="游ゴシック" w:hAnsi="游ゴシック" w:eastAsia="游ゴシック"/>
                <w:b w:val="0"/>
                <w:i w:val="0"/>
                <w:sz w:val="17"/>
              </w:rPr>
              <w:t>17.0〜18.0日</w:t>
            </w:r>
          </w:p>
        </w:tc>
        <w:tc>
          <w:tcPr>
            <w:tcW w:type="dxa" w:w="3402"/>
            <w:vAlign w:val="center"/>
          </w:tcPr>
          <w:p>
            <w:pPr>
              <w:spacing w:before="20" w:after="20"/>
            </w:pPr>
            <w:r>
              <w:rPr>
                <w:rFonts w:ascii="游ゴシック" w:hAnsi="游ゴシック" w:eastAsia="游ゴシック"/>
                <w:b w:val="0"/>
                <w:i w:val="0"/>
                <w:sz w:val="17"/>
              </w:rPr>
              <w:t>見込みはほぼ全開所日。実績は月17〜18日</w:t>
            </w:r>
          </w:p>
        </w:tc>
      </w:tr>
      <w:tr>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1928"/>
            <w:vAlign w:val="center"/>
          </w:tcPr>
          <w:p>
            <w:pPr>
              <w:spacing w:before="20" w:after="20"/>
              <w:jc w:val="right"/>
            </w:pPr>
            <w:r>
              <w:rPr>
                <w:rFonts w:ascii="游ゴシック" w:hAnsi="游ゴシック" w:eastAsia="游ゴシック"/>
                <w:b w:val="0"/>
                <w:i w:val="0"/>
                <w:sz w:val="17"/>
              </w:rPr>
              <w:t>11.3日</w:t>
            </w:r>
          </w:p>
        </w:tc>
        <w:tc>
          <w:tcPr>
            <w:tcW w:type="dxa" w:w="1928"/>
            <w:vAlign w:val="center"/>
          </w:tcPr>
          <w:p>
            <w:pPr>
              <w:spacing w:before="20" w:after="20"/>
              <w:jc w:val="right"/>
            </w:pPr>
            <w:r>
              <w:rPr>
                <w:rFonts w:ascii="游ゴシック" w:hAnsi="游ゴシック" w:eastAsia="游ゴシック"/>
                <w:b w:val="0"/>
                <w:i w:val="0"/>
                <w:sz w:val="17"/>
              </w:rPr>
              <w:t>3.0〜3.5日</w:t>
            </w:r>
          </w:p>
        </w:tc>
        <w:tc>
          <w:tcPr>
            <w:tcW w:type="dxa" w:w="3402"/>
            <w:vAlign w:val="center"/>
          </w:tcPr>
          <w:p>
            <w:pPr>
              <w:spacing w:before="20" w:after="20"/>
            </w:pPr>
            <w:r>
              <w:rPr>
                <w:rFonts w:ascii="游ゴシック" w:hAnsi="游ゴシック" w:eastAsia="游ゴシック"/>
                <w:b/>
                <w:i w:val="0"/>
                <w:sz w:val="17"/>
              </w:rPr>
              <w:t>見込み週2〜3回に対し実績は週1回に満たない。</w:t>
            </w:r>
            <w:r>
              <w:rPr>
                <w:rFonts w:ascii="游ゴシック" w:hAnsi="游ゴシック" w:eastAsia="游ゴシック"/>
                <w:b w:val="0"/>
                <w:i w:val="0"/>
                <w:sz w:val="17"/>
              </w:rPr>
              <w:t>町外通所の負担（第2部第3章2）</w:t>
            </w:r>
          </w:p>
        </w:tc>
      </w:tr>
      <w:tr>
        <w:tc>
          <w:tcPr>
            <w:tcW w:type="dxa" w:w="2494"/>
            <w:vAlign w:val="center"/>
          </w:tcPr>
          <w:p>
            <w:pPr>
              <w:spacing w:before="20" w:after="20"/>
            </w:pPr>
            <w:r>
              <w:rPr>
                <w:rFonts w:ascii="游ゴシック" w:hAnsi="游ゴシック" w:eastAsia="游ゴシック"/>
                <w:b w:val="0"/>
                <w:i w:val="0"/>
                <w:sz w:val="17"/>
              </w:rPr>
              <w:t>生活介護</w:t>
            </w:r>
          </w:p>
        </w:tc>
        <w:tc>
          <w:tcPr>
            <w:tcW w:type="dxa" w:w="1928"/>
            <w:vAlign w:val="center"/>
          </w:tcPr>
          <w:p>
            <w:pPr>
              <w:spacing w:before="20" w:after="20"/>
              <w:jc w:val="right"/>
            </w:pPr>
            <w:r>
              <w:rPr>
                <w:rFonts w:ascii="游ゴシック" w:hAnsi="游ゴシック" w:eastAsia="游ゴシック"/>
                <w:b w:val="0"/>
                <w:i w:val="0"/>
                <w:sz w:val="17"/>
              </w:rPr>
              <w:t>22.1日</w:t>
            </w:r>
          </w:p>
        </w:tc>
        <w:tc>
          <w:tcPr>
            <w:tcW w:type="dxa" w:w="1928"/>
            <w:vAlign w:val="center"/>
          </w:tcPr>
          <w:p>
            <w:pPr>
              <w:spacing w:before="20" w:after="20"/>
              <w:jc w:val="right"/>
            </w:pPr>
            <w:r>
              <w:rPr>
                <w:rFonts w:ascii="游ゴシック" w:hAnsi="游ゴシック" w:eastAsia="游ゴシック"/>
                <w:b w:val="0"/>
                <w:i w:val="0"/>
                <w:sz w:val="17"/>
              </w:rPr>
              <w:t>18.0〜19.0日</w:t>
            </w:r>
          </w:p>
        </w:tc>
        <w:tc>
          <w:tcPr>
            <w:tcW w:type="dxa" w:w="3402"/>
            <w:vAlign w:val="center"/>
          </w:tcPr>
          <w:p>
            <w:pPr>
              <w:spacing w:before="20" w:after="20"/>
            </w:pPr>
            <w:r>
              <w:rPr>
                <w:rFonts w:ascii="游ゴシック" w:hAnsi="游ゴシック" w:eastAsia="游ゴシック"/>
                <w:b w:val="0"/>
                <w:i w:val="0"/>
                <w:sz w:val="17"/>
              </w:rPr>
              <w:t>見込みはほぼ全開所日。実績は月18〜19日</w:t>
            </w:r>
          </w:p>
        </w:tc>
      </w:tr>
      <w:tr>
        <w:tc>
          <w:tcPr>
            <w:tcW w:type="dxa" w:w="2494"/>
            <w:vAlign w:val="center"/>
          </w:tcPr>
          <w:p>
            <w:pPr>
              <w:keepNext/>
              <w:spacing w:before="20" w:after="20"/>
            </w:pPr>
            <w:r>
              <w:rPr>
                <w:rFonts w:ascii="游ゴシック" w:hAnsi="游ゴシック" w:eastAsia="游ゴシック"/>
                <w:b w:val="0"/>
                <w:i w:val="0"/>
                <w:sz w:val="17"/>
              </w:rPr>
              <w:t>短期入所（福祉型）</w:t>
            </w:r>
          </w:p>
        </w:tc>
        <w:tc>
          <w:tcPr>
            <w:tcW w:type="dxa" w:w="1928"/>
            <w:vAlign w:val="center"/>
          </w:tcPr>
          <w:p>
            <w:pPr>
              <w:keepNext/>
              <w:spacing w:before="20" w:after="20"/>
              <w:jc w:val="right"/>
            </w:pPr>
            <w:r>
              <w:rPr>
                <w:rFonts w:ascii="游ゴシック" w:hAnsi="游ゴシック" w:eastAsia="游ゴシック"/>
                <w:b w:val="0"/>
                <w:i w:val="0"/>
                <w:sz w:val="17"/>
              </w:rPr>
              <w:t>8.5日</w:t>
            </w:r>
          </w:p>
        </w:tc>
        <w:tc>
          <w:tcPr>
            <w:tcW w:type="dxa" w:w="1928"/>
            <w:vAlign w:val="center"/>
          </w:tcPr>
          <w:p>
            <w:pPr>
              <w:keepNext/>
              <w:spacing w:before="20" w:after="20"/>
              <w:jc w:val="right"/>
            </w:pPr>
            <w:r>
              <w:rPr>
                <w:rFonts w:ascii="游ゴシック" w:hAnsi="游ゴシック" w:eastAsia="游ゴシック"/>
                <w:b w:val="0"/>
                <w:i w:val="0"/>
                <w:sz w:val="17"/>
              </w:rPr>
              <w:t>6.0〜7.0日</w:t>
            </w:r>
          </w:p>
        </w:tc>
        <w:tc>
          <w:tcPr>
            <w:tcW w:type="dxa" w:w="3402"/>
            <w:vAlign w:val="center"/>
          </w:tcPr>
          <w:p>
            <w:pPr>
              <w:keepNext/>
              <w:spacing w:before="20" w:after="20"/>
            </w:pPr>
            <w:r>
              <w:rPr>
                <w:rFonts w:ascii="游ゴシック" w:hAnsi="游ゴシック" w:eastAsia="游ゴシック"/>
                <w:b w:val="0"/>
                <w:i w:val="0"/>
                <w:sz w:val="17"/>
              </w:rPr>
              <w:t>見込み8.5日に対し実績6.0〜7.0日</w:t>
            </w:r>
          </w:p>
        </w:tc>
      </w:tr>
      <w:tr>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15.0〜23.0日</w:t>
            </w:r>
          </w:p>
        </w:tc>
        <w:tc>
          <w:tcPr>
            <w:tcW w:type="dxa" w:w="3402"/>
            <w:vAlign w:val="center"/>
          </w:tcPr>
          <w:p>
            <w:pPr>
              <w:spacing w:before="20" w:after="20"/>
            </w:pPr>
            <w:r>
              <w:rPr>
                <w:rFonts w:ascii="游ゴシック" w:hAnsi="游ゴシック" w:eastAsia="游ゴシック"/>
                <w:b w:val="0"/>
                <w:i w:val="0"/>
                <w:sz w:val="17"/>
              </w:rPr>
              <w:t>利用が1人のため幅が大きい</w:t>
            </w:r>
          </w:p>
        </w:tc>
      </w:tr>
    </w:tbl>
    <w:p>
      <w:pPr>
        <w:spacing w:after="40"/>
      </w:pPr>
    </w:p>
    <w:p>
      <w:pPr>
        <w:spacing w:before="40" w:after="160"/>
        <w:ind w:left="113"/>
      </w:pPr>
      <w:r>
        <w:rPr>
          <w:rFonts w:ascii="游ゴシック" w:hAnsi="游ゴシック" w:eastAsia="游ゴシック"/>
          <w:b w:val="0"/>
          <w:i w:val="0"/>
          <w:sz w:val="17"/>
        </w:rPr>
        <w:t>資料：前回計画の見込量・実績から当方が算出（人日÷人。令和3〜5年度の幅）。</w:t>
      </w:r>
      <w:r>
        <w:rPr>
          <w:rFonts w:ascii="游ゴシック" w:hAnsi="游ゴシック" w:eastAsia="游ゴシック"/>
          <w:b/>
          <w:i w:val="0"/>
          <w:sz w:val="17"/>
        </w:rPr>
        <w:t>実績の人数が0の年度は「―」としています。</w:t>
      </w:r>
    </w:p>
    <w:p>
      <w:pPr>
        <w:spacing w:after="120"/>
      </w:pPr>
    </w:p>
    <w:p>
      <w:pPr>
        <w:keepNext/>
        <w:spacing w:before="200" w:after="40"/>
      </w:pPr>
      <w:r>
        <w:rPr>
          <w:rFonts w:ascii="游ゴシック" w:hAnsi="游ゴシック" w:eastAsia="游ゴシック"/>
          <w:b/>
          <w:i w:val="0"/>
          <w:color w:val="1F4D78"/>
          <w:sz w:val="22"/>
        </w:rPr>
        <w:t>【図2】第3部第2章2-1　1人あたりの利用日数　見込みと実績</w:t>
      </w:r>
    </w:p>
    <w:p>
      <w:pPr>
        <w:keepNext/>
        <w:spacing w:before="0" w:after="40"/>
        <w:jc w:val="center"/>
      </w:pPr>
      <w:r>
        <w:drawing>
          <wp:inline xmlns:a="http://schemas.openxmlformats.org/drawingml/2006/main" xmlns:pic="http://schemas.openxmlformats.org/drawingml/2006/picture">
            <wp:extent cx="5580000" cy="3706450"/>
            <wp:docPr id="2" name="Picture 2"/>
            <wp:cNvGraphicFramePr>
              <a:graphicFrameLocks noChangeAspect="1"/>
            </wp:cNvGraphicFramePr>
            <a:graphic>
              <a:graphicData uri="http://schemas.openxmlformats.org/drawingml/2006/picture">
                <pic:pic>
                  <pic:nvPicPr>
                    <pic:cNvPr id="0" name="f62_shogai_nissu.png"/>
                    <pic:cNvPicPr/>
                  </pic:nvPicPr>
                  <pic:blipFill>
                    <a:blip r:embed="rId14"/>
                    <a:stretch>
                      <a:fillRect/>
                    </a:stretch>
                  </pic:blipFill>
                  <pic:spPr>
                    <a:xfrm>
                      <a:off x="0" y="0"/>
                      <a:ext cx="5580000" cy="3706450"/>
                    </a:xfrm>
                    <a:prstGeom prst="rect"/>
                  </pic:spPr>
                </pic:pic>
              </a:graphicData>
            </a:graphic>
          </wp:inline>
        </w:drawing>
      </w:r>
    </w:p>
    <w:p>
      <w:pPr>
        <w:spacing w:before="40" w:after="160"/>
        <w:ind w:left="113"/>
      </w:pPr>
      <w:r>
        <w:rPr>
          <w:rFonts w:ascii="游ゴシック" w:hAnsi="游ゴシック" w:eastAsia="游ゴシック"/>
          <w:b w:val="0"/>
          <w:i w:val="0"/>
          <w:sz w:val="17"/>
        </w:rPr>
        <w:t>資料：前回計画（令和6年3月）の第6期の見込量・実績から当方が算出（令和3〜5年度の平均）。</w:t>
      </w:r>
      <w:r>
        <w:rPr>
          <w:rFonts w:ascii="游ゴシック" w:hAnsi="游ゴシック" w:eastAsia="游ゴシック"/>
          <w:b/>
          <w:i w:val="0"/>
          <w:sz w:val="17"/>
        </w:rPr>
        <w:t>右端は実績÷見込み。6割を下回るものを赤で示す</w:t>
      </w:r>
    </w:p>
    <w:p>
      <w:pPr>
        <w:spacing w:after="120"/>
      </w:pPr>
    </w:p>
    <w:p>
      <w:pPr>
        <w:spacing w:before="60" w:after="60"/>
      </w:pPr>
      <w:r>
        <w:rPr>
          <w:rFonts w:ascii="游ゴシック" w:hAnsi="游ゴシック" w:eastAsia="游ゴシック"/>
          <w:b/>
          <w:i w:val="0"/>
          <w:sz w:val="21"/>
        </w:rPr>
        <w:t>放課後等デイサービスがとりわけ大きく離れています。</w:t>
      </w:r>
      <w:r>
        <w:rPr>
          <w:rFonts w:ascii="游ゴシック" w:hAnsi="游ゴシック" w:eastAsia="游ゴシック"/>
          <w:b w:val="0"/>
          <w:i w:val="0"/>
          <w:sz w:val="21"/>
        </w:rPr>
        <w:t>見込みは1人あたり月11.3日（週2〜3回）でしたが、実績は</w:t>
      </w:r>
      <w:r>
        <w:rPr>
          <w:rFonts w:ascii="游ゴシック" w:hAnsi="游ゴシック" w:eastAsia="游ゴシック"/>
          <w:b/>
          <w:i w:val="0"/>
          <w:sz w:val="21"/>
        </w:rPr>
        <w:t>月3.0〜3.5日（週1回に満たない）</w:t>
      </w:r>
      <w:r>
        <w:rPr>
          <w:rFonts w:ascii="游ゴシック" w:hAnsi="游ゴシック" w:eastAsia="游ゴシック"/>
          <w:b w:val="0"/>
          <w:i w:val="0"/>
          <w:sz w:val="21"/>
        </w:rPr>
        <w:t>でした。児童発達支援も見込み8.3日に対し実績4.0〜5.0日です。</w:t>
      </w:r>
      <w:r>
        <w:rPr>
          <w:rFonts w:ascii="游ゴシック" w:hAnsi="游ゴシック" w:eastAsia="游ゴシック"/>
          <w:b/>
          <w:i w:val="0"/>
          <w:sz w:val="21"/>
        </w:rPr>
        <w:t>町内に療育機関がなく、町外へ通うことになる</w:t>
      </w:r>
      <w:r>
        <w:rPr>
          <w:rFonts w:ascii="游ゴシック" w:hAnsi="游ゴシック" w:eastAsia="游ゴシック"/>
          <w:b w:val="0"/>
          <w:i w:val="0"/>
          <w:sz w:val="21"/>
        </w:rPr>
        <w:t>ため、通える回数が限られているものと考えられます（第2部第3章2・第8章1）。</w:t>
      </w:r>
    </w:p>
    <w:p>
      <w:pPr>
        <w:spacing w:before="60" w:after="60"/>
      </w:pPr>
      <w:r>
        <w:rPr>
          <w:rFonts w:ascii="游ゴシック" w:hAnsi="游ゴシック" w:eastAsia="游ゴシック"/>
          <w:b/>
          <w:i w:val="0"/>
          <w:sz w:val="21"/>
        </w:rPr>
        <w:t>日中活動系も同じ向きです。</w:t>
      </w:r>
      <w:r>
        <w:rPr>
          <w:rFonts w:ascii="游ゴシック" w:hAnsi="游ゴシック" w:eastAsia="游ゴシック"/>
          <w:b w:val="0"/>
          <w:i w:val="0"/>
          <w:sz w:val="21"/>
        </w:rPr>
        <w:t>生活介護は見込み22.1日（ほぼ全開所日）に対し実績18.0〜19.0日、就労継続支援（Ｂ型）は見込み23.2〜25.9日に対し実績17.0〜18.0日です。</w:t>
      </w:r>
    </w:p>
    <w:p>
      <w:pPr>
        <w:spacing w:before="60" w:after="60"/>
      </w:pPr>
      <w:r>
        <w:rPr>
          <w:rFonts w:ascii="游ゴシック" w:hAnsi="游ゴシック" w:eastAsia="游ゴシック"/>
          <w:b/>
          <w:i w:val="0"/>
          <w:sz w:val="21"/>
        </w:rPr>
        <w:t>そこで第8期は、見込量を次の形で置きます。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量（人日）＝ 見込人数 × 1人あたり日数</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1人あたり日数は、前回計画が用いた値ではなく、直近の実績の値を出発点とします。</w:t>
      </w:r>
      <w:r>
        <w:rPr>
          <w:rFonts w:ascii="游ゴシック" w:hAnsi="游ゴシック" w:eastAsia="游ゴシック"/>
          <w:b w:val="0"/>
          <w:i w:val="0"/>
          <w:sz w:val="21"/>
        </w:rPr>
        <w:t>引き上げる場合は、</w:t>
      </w:r>
      <w:r>
        <w:rPr>
          <w:rFonts w:ascii="游ゴシック" w:hAnsi="游ゴシック" w:eastAsia="游ゴシック"/>
          <w:b/>
          <w:i w:val="0"/>
          <w:sz w:val="21"/>
        </w:rPr>
        <w:t>何をすれば日数が増えるのかを施策（第2部）の側に書いたうえで</w:t>
      </w:r>
      <w:r>
        <w:rPr>
          <w:rFonts w:ascii="游ゴシック" w:hAnsi="游ゴシック" w:eastAsia="游ゴシック"/>
          <w:b w:val="0"/>
          <w:i w:val="0"/>
          <w:sz w:val="21"/>
        </w:rPr>
        <w:t>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人数と1人あたり日数を分けて示します。</w:t>
      </w:r>
      <w:r>
        <w:rPr>
          <w:rFonts w:ascii="游ゴシック" w:hAnsi="游ゴシック" w:eastAsia="游ゴシック"/>
          <w:b w:val="0"/>
          <w:i w:val="0"/>
          <w:sz w:val="21"/>
        </w:rPr>
        <w:t>どちらがずれたのかが、毎年度の点検で分かるようにするためです（第4部3）。</w:t>
      </w:r>
    </w:p>
    <w:p>
      <w:pPr>
        <w:spacing w:before="40" w:after="160"/>
        <w:ind w:left="113"/>
      </w:pPr>
      <w:r>
        <w:rPr>
          <w:rFonts w:ascii="游ゴシック" w:hAnsi="游ゴシック" w:eastAsia="游ゴシック"/>
          <w:b/>
          <w:i w:val="0"/>
          <w:sz w:val="17"/>
        </w:rPr>
        <w:t>※ 1人あたり日数を実績どおりに置くことは、利用を増やさないという意味ではありません。</w:t>
      </w:r>
      <w:r>
        <w:rPr>
          <w:rFonts w:ascii="游ゴシック" w:hAnsi="游ゴシック" w:eastAsia="游ゴシック"/>
          <w:b/>
          <w:i w:val="0"/>
          <w:sz w:val="17"/>
        </w:rPr>
        <w:t>増やすのであれば、通えない理由（送迎・費用・事業所の有無）を施策で取り除く必要があり、その手当てと対にして日数を置きます。</w:t>
      </w:r>
      <w:r>
        <w:rPr>
          <w:rFonts w:ascii="游ゴシック" w:hAnsi="游ゴシック" w:eastAsia="游ゴシック"/>
          <w:b w:val="0"/>
          <w:i w:val="0"/>
          <w:sz w:val="17"/>
        </w:rPr>
        <w:t>手当てのないまま日数だけを高く置くと、第6期と同じことが繰り返されます。</w:t>
      </w:r>
    </w:p>
    <w:p>
      <w:pPr>
        <w:spacing w:after="120"/>
      </w:pPr>
    </w:p>
    <w:p>
      <w:pPr>
        <w:pStyle w:val="Heading3"/>
        <w:keepNext/>
        <w:spacing w:before="180" w:after="80"/>
      </w:pPr>
      <w:r>
        <w:rPr>
          <w:rFonts w:ascii="游ゴシック" w:hAnsi="游ゴシック" w:eastAsia="游ゴシック"/>
          <w:b/>
          <w:i w:val="0"/>
          <w:color w:val="1F4D78"/>
          <w:sz w:val="22"/>
        </w:rPr>
        <w:t>2-2　地域生活支援事業は、実績も見込量も0のものが並んでいます</w:t>
      </w:r>
    </w:p>
    <w:p>
      <w:pPr>
        <w:spacing w:before="60" w:after="60"/>
      </w:pPr>
      <w:r>
        <w:rPr>
          <w:rFonts w:ascii="游ゴシック" w:hAnsi="游ゴシック" w:eastAsia="游ゴシック"/>
          <w:b/>
          <w:i w:val="0"/>
          <w:sz w:val="21"/>
        </w:rPr>
        <w:t>前回計画の地域生活支援事業（11事業）のうち、次の4つは第6期の実績も第7期の見込量もすべて0です。</w:t>
      </w:r>
    </w:p>
    <w:p>
      <w:pPr>
        <w:keepNext/>
        <w:spacing w:before="200" w:after="40"/>
      </w:pPr>
      <w:r>
        <w:rPr>
          <w:rFonts w:ascii="游ゴシック" w:hAnsi="游ゴシック" w:eastAsia="游ゴシック"/>
          <w:b/>
          <w:i w:val="0"/>
          <w:color w:val="1F4D78"/>
          <w:sz w:val="22"/>
        </w:rPr>
        <w:t>【表32】第3部第2章　活動指標・サービス見込量（3）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041"/>
        <w:gridCol w:w="1587"/>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第7期の見込量</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494"/>
            <w:vAlign w:val="center"/>
          </w:tcPr>
          <w:p>
            <w:pPr>
              <w:spacing w:before="20" w:after="20"/>
            </w:pPr>
            <w:r>
              <w:rPr>
                <w:rFonts w:ascii="游ゴシック" w:hAnsi="游ゴシック" w:eastAsia="游ゴシック"/>
                <w:b/>
                <w:i w:val="0"/>
                <w:sz w:val="17"/>
              </w:rPr>
              <w:t>意思疎通支援事業</w:t>
            </w:r>
            <w:r>
              <w:rPr>
                <w:rFonts w:ascii="游ゴシック" w:hAnsi="游ゴシック" w:eastAsia="游ゴシック"/>
                <w:b w:val="0"/>
                <w:i w:val="0"/>
                <w:sz w:val="17"/>
              </w:rPr>
              <w:br/>
              <w:t>（手話通訳者・要約筆記者派遣／手話通訳者設置／点訳・代筆・代読・音声訳等）</w:t>
            </w:r>
          </w:p>
        </w:tc>
        <w:tc>
          <w:tcPr>
            <w:tcW w:type="dxa" w:w="2041"/>
            <w:vAlign w:val="center"/>
          </w:tcPr>
          <w:p>
            <w:pPr>
              <w:spacing w:before="20" w:after="20"/>
            </w:pPr>
            <w:r>
              <w:rPr>
                <w:rFonts w:ascii="游ゴシック" w:hAnsi="游ゴシック" w:eastAsia="游ゴシック"/>
                <w:b/>
                <w:i w:val="0"/>
                <w:sz w:val="17"/>
              </w:rPr>
              <w:t>0人・0か所</w:t>
            </w:r>
          </w:p>
        </w:tc>
        <w:tc>
          <w:tcPr>
            <w:tcW w:type="dxa" w:w="1587"/>
            <w:vAlign w:val="center"/>
          </w:tcPr>
          <w:p>
            <w:pPr>
              <w:spacing w:before="20" w:after="20"/>
            </w:pPr>
            <w:r>
              <w:rPr>
                <w:rFonts w:ascii="游ゴシック" w:hAnsi="游ゴシック" w:eastAsia="游ゴシック"/>
                <w:b/>
                <w:i w:val="0"/>
                <w:sz w:val="17"/>
              </w:rPr>
              <w:t>0人・0か所</w:t>
            </w:r>
          </w:p>
        </w:tc>
        <w:tc>
          <w:tcPr>
            <w:tcW w:type="dxa" w:w="3628"/>
            <w:vAlign w:val="center"/>
          </w:tcPr>
          <w:p>
            <w:pPr>
              <w:spacing w:before="20" w:after="20"/>
            </w:pPr>
            <w:r>
              <w:rPr>
                <w:rFonts w:ascii="游ゴシック" w:hAnsi="游ゴシック" w:eastAsia="游ゴシック"/>
                <w:b/>
                <w:i w:val="0"/>
                <w:sz w:val="17"/>
              </w:rPr>
              <w:t>令和7年4月に町条例が施行されました</w:t>
            </w:r>
            <w:r>
              <w:rPr>
                <w:rFonts w:ascii="游ゴシック" w:hAnsi="游ゴシック" w:eastAsia="游ゴシック"/>
                <w:b w:val="0"/>
                <w:i w:val="0"/>
                <w:sz w:val="17"/>
              </w:rPr>
              <w:t>（第2部第4章）。</w:t>
            </w:r>
            <w:r>
              <w:rPr>
                <w:rFonts w:ascii="游ゴシック" w:hAnsi="游ゴシック" w:eastAsia="游ゴシック"/>
                <w:b/>
                <w:i w:val="0"/>
                <w:sz w:val="17"/>
              </w:rPr>
              <w:t>条例を掲げて量を0のままにはできません</w:t>
            </w:r>
          </w:p>
        </w:tc>
      </w:tr>
      <w:tr>
        <w:tc>
          <w:tcPr>
            <w:tcW w:type="dxa" w:w="2494"/>
            <w:vAlign w:val="center"/>
          </w:tcPr>
          <w:p>
            <w:pPr>
              <w:spacing w:before="20" w:after="20"/>
            </w:pPr>
            <w:r>
              <w:rPr>
                <w:rFonts w:ascii="游ゴシック" w:hAnsi="游ゴシック" w:eastAsia="游ゴシック"/>
                <w:b/>
                <w:i w:val="0"/>
                <w:sz w:val="17"/>
              </w:rPr>
              <w:t>手話奉仕員養成研修事業</w:t>
            </w:r>
          </w:p>
        </w:tc>
        <w:tc>
          <w:tcPr>
            <w:tcW w:type="dxa" w:w="2041"/>
            <w:vAlign w:val="center"/>
          </w:tcPr>
          <w:p>
            <w:pPr>
              <w:spacing w:before="20" w:after="20"/>
            </w:pPr>
            <w:r>
              <w:rPr>
                <w:rFonts w:ascii="游ゴシック" w:hAnsi="游ゴシック" w:eastAsia="游ゴシック"/>
                <w:b/>
                <w:i w:val="0"/>
                <w:sz w:val="17"/>
              </w:rPr>
              <w:t>0人</w:t>
            </w:r>
          </w:p>
        </w:tc>
        <w:tc>
          <w:tcPr>
            <w:tcW w:type="dxa" w:w="1587"/>
            <w:vAlign w:val="center"/>
          </w:tcPr>
          <w:p>
            <w:pPr>
              <w:spacing w:before="20" w:after="20"/>
            </w:pPr>
            <w:r>
              <w:rPr>
                <w:rFonts w:ascii="游ゴシック" w:hAnsi="游ゴシック" w:eastAsia="游ゴシック"/>
                <w:b/>
                <w:i w:val="0"/>
                <w:sz w:val="17"/>
              </w:rPr>
              <w:t>0人</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養成しなければ派遣もできません</w:t>
            </w:r>
          </w:p>
        </w:tc>
      </w:tr>
      <w:tr>
        <w:tc>
          <w:tcPr>
            <w:tcW w:type="dxa" w:w="2494"/>
            <w:vAlign w:val="center"/>
          </w:tcPr>
          <w:p>
            <w:pPr>
              <w:keepNext/>
              <w:spacing w:before="20" w:after="20"/>
            </w:pPr>
            <w:r>
              <w:rPr>
                <w:rFonts w:ascii="游ゴシック" w:hAnsi="游ゴシック" w:eastAsia="游ゴシック"/>
                <w:b/>
                <w:i w:val="0"/>
                <w:sz w:val="17"/>
              </w:rPr>
              <w:t>移動支援事業</w:t>
            </w:r>
          </w:p>
        </w:tc>
        <w:tc>
          <w:tcPr>
            <w:tcW w:type="dxa" w:w="2041"/>
            <w:vAlign w:val="center"/>
          </w:tcPr>
          <w:p>
            <w:pPr>
              <w:keepNext/>
              <w:spacing w:before="20" w:after="20"/>
            </w:pPr>
            <w:r>
              <w:rPr>
                <w:rFonts w:ascii="游ゴシック" w:hAnsi="游ゴシック" w:eastAsia="游ゴシック"/>
                <w:b/>
                <w:i w:val="0"/>
                <w:sz w:val="17"/>
              </w:rPr>
              <w:t>0人・0時間</w:t>
            </w:r>
          </w:p>
        </w:tc>
        <w:tc>
          <w:tcPr>
            <w:tcW w:type="dxa" w:w="1587"/>
            <w:vAlign w:val="center"/>
          </w:tcPr>
          <w:p>
            <w:pPr>
              <w:keepNext/>
              <w:spacing w:before="20" w:after="20"/>
            </w:pPr>
            <w:r>
              <w:rPr>
                <w:rFonts w:ascii="游ゴシック" w:hAnsi="游ゴシック" w:eastAsia="游ゴシック"/>
                <w:b/>
                <w:i w:val="0"/>
                <w:sz w:val="17"/>
              </w:rPr>
              <w:t>0人・0時間</w:t>
            </w:r>
          </w:p>
        </w:tc>
        <w:tc>
          <w:tcPr>
            <w:tcW w:type="dxa" w:w="3628"/>
            <w:vAlign w:val="center"/>
          </w:tcPr>
          <w:p>
            <w:pPr>
              <w:keepNext/>
              <w:spacing w:before="20" w:after="20"/>
            </w:pPr>
            <w:r>
              <w:rPr>
                <w:rFonts w:ascii="游ゴシック" w:hAnsi="游ゴシック" w:eastAsia="游ゴシック"/>
                <w:b/>
                <w:i w:val="0"/>
                <w:sz w:val="17"/>
              </w:rPr>
              <w:t>第2部第3章2で外出支援の柱に置いています。</w:t>
            </w:r>
            <w:r>
              <w:rPr>
                <w:rFonts w:ascii="游ゴシック" w:hAnsi="游ゴシック" w:eastAsia="游ゴシック"/>
                <w:b w:val="0"/>
                <w:i w:val="0"/>
                <w:sz w:val="17"/>
              </w:rPr>
              <w:t>外出の困りごと（段差・公共交通・費用）と合いません</w:t>
            </w:r>
          </w:p>
        </w:tc>
      </w:tr>
      <w:tr>
        <w:tc>
          <w:tcPr>
            <w:tcW w:type="dxa" w:w="2494"/>
            <w:vAlign w:val="center"/>
          </w:tcPr>
          <w:p>
            <w:pPr>
              <w:spacing w:before="20" w:after="20"/>
            </w:pPr>
            <w:r>
              <w:rPr>
                <w:rFonts w:ascii="游ゴシック" w:hAnsi="游ゴシック" w:eastAsia="游ゴシック"/>
                <w:b/>
                <w:i w:val="0"/>
                <w:sz w:val="17"/>
              </w:rPr>
              <w:t>地域活動支援センター</w:t>
            </w:r>
          </w:p>
        </w:tc>
        <w:tc>
          <w:tcPr>
            <w:tcW w:type="dxa" w:w="2041"/>
            <w:vAlign w:val="center"/>
          </w:tcPr>
          <w:p>
            <w:pPr>
              <w:spacing w:before="20" w:after="20"/>
            </w:pPr>
            <w:r>
              <w:rPr>
                <w:rFonts w:ascii="游ゴシック" w:hAnsi="游ゴシック" w:eastAsia="游ゴシック"/>
                <w:b/>
                <w:i w:val="0"/>
                <w:sz w:val="17"/>
              </w:rPr>
              <w:t>0人・0時間</w:t>
            </w:r>
          </w:p>
        </w:tc>
        <w:tc>
          <w:tcPr>
            <w:tcW w:type="dxa" w:w="1587"/>
            <w:vAlign w:val="center"/>
          </w:tcPr>
          <w:p>
            <w:pPr>
              <w:spacing w:before="20" w:after="20"/>
            </w:pPr>
            <w:r>
              <w:rPr>
                <w:rFonts w:ascii="游ゴシック" w:hAnsi="游ゴシック" w:eastAsia="游ゴシック"/>
                <w:b/>
                <w:i w:val="0"/>
                <w:sz w:val="17"/>
              </w:rPr>
              <w:t>0人・0時間</w:t>
            </w:r>
          </w:p>
        </w:tc>
        <w:tc>
          <w:tcPr>
            <w:tcW w:type="dxa" w:w="3628"/>
            <w:vAlign w:val="center"/>
          </w:tcPr>
          <w:p>
            <w:pPr>
              <w:spacing w:before="20" w:after="20"/>
            </w:pPr>
            <w:r>
              <w:rPr>
                <w:rFonts w:ascii="游ゴシック" w:hAnsi="游ゴシック" w:eastAsia="游ゴシック"/>
                <w:b w:val="0"/>
                <w:i w:val="0"/>
                <w:sz w:val="17"/>
              </w:rPr>
              <w:t>第2部第10章3で社会参加の場に挙げています</w:t>
            </w:r>
          </w:p>
        </w:tc>
      </w:tr>
    </w:tbl>
    <w:p>
      <w:pPr>
        <w:spacing w:after="40"/>
      </w:pPr>
    </w:p>
    <w:p>
      <w:pPr>
        <w:spacing w:before="40" w:after="160"/>
        <w:ind w:left="113"/>
      </w:pPr>
      <w:r>
        <w:rPr>
          <w:rFonts w:ascii="游ゴシック" w:hAnsi="游ゴシック" w:eastAsia="游ゴシック"/>
          <w:b w:val="0"/>
          <w:i w:val="0"/>
          <w:sz w:val="17"/>
        </w:rPr>
        <w:t>資料：前回計画 第3部第8章。</w:t>
      </w:r>
      <w:r>
        <w:rPr>
          <w:rFonts w:ascii="游ゴシック" w:hAnsi="游ゴシック" w:eastAsia="游ゴシック"/>
          <w:b/>
          <w:i w:val="0"/>
          <w:sz w:val="17"/>
        </w:rPr>
        <w:t>実績のある事業は、日中一時支援事業（22〜24人）と訪問入浴サービス事業（1〜2人／年）です。</w:t>
      </w:r>
      <w:r>
        <w:rPr>
          <w:rFonts w:ascii="游ゴシック" w:hAnsi="游ゴシック" w:eastAsia="游ゴシック"/>
          <w:b/>
          <w:i w:val="0"/>
          <w:sz w:val="17"/>
        </w:rPr>
        <w:t>令和6〜8年度の実績は【町データ待ち】です。</w:t>
      </w:r>
    </w:p>
    <w:p>
      <w:pPr>
        <w:spacing w:after="120"/>
      </w:pPr>
    </w:p>
    <w:p>
      <w:pPr>
        <w:spacing w:before="60" w:after="60"/>
      </w:pPr>
      <w:r>
        <w:rPr>
          <w:rFonts w:ascii="游ゴシック" w:hAnsi="游ゴシック" w:eastAsia="游ゴシック"/>
          <w:b/>
          <w:i w:val="0"/>
          <w:sz w:val="21"/>
        </w:rPr>
        <w:t>0が続いていることには、2つの読み方があります。</w:t>
      </w:r>
      <w:r>
        <w:rPr>
          <w:rFonts w:ascii="游ゴシック" w:hAnsi="游ゴシック" w:eastAsia="游ゴシック"/>
          <w:b/>
          <w:i w:val="0"/>
          <w:sz w:val="21"/>
        </w:rPr>
        <w:t>①必要がなかった。②必要はあったが、使える形になっていなかった。</w:t>
      </w:r>
      <w:r>
        <w:rPr>
          <w:rFonts w:ascii="游ゴシック" w:hAnsi="游ゴシック" w:eastAsia="游ゴシック"/>
          <w:b/>
          <w:i w:val="0"/>
          <w:sz w:val="21"/>
        </w:rPr>
        <w:t>どちらであるかによって、本計画ですべきことが正反対になります。</w:t>
      </w:r>
    </w:p>
    <w:p>
      <w:pPr>
        <w:spacing w:before="60" w:after="60"/>
      </w:pPr>
      <w:r>
        <w:rPr>
          <w:rFonts w:ascii="游ゴシック" w:hAnsi="游ゴシック" w:eastAsia="游ゴシック"/>
          <w:b/>
          <w:i w:val="0"/>
          <w:sz w:val="21"/>
        </w:rPr>
        <w:t>本町は令和7年4月に手話言語及び障がい者コミュニケーション条例を施行しました。</w:t>
      </w:r>
      <w:r>
        <w:rPr>
          <w:rFonts w:ascii="游ゴシック" w:hAnsi="游ゴシック" w:eastAsia="游ゴシック"/>
          <w:b w:val="0"/>
          <w:i w:val="0"/>
          <w:sz w:val="21"/>
        </w:rPr>
        <w:t xml:space="preserve"> 条例を定めながら意思疎通支援事業の量を0のまま置くことはできません。</w:t>
      </w:r>
      <w:r>
        <w:rPr>
          <w:rFonts w:ascii="游ゴシック" w:hAnsi="游ゴシック" w:eastAsia="游ゴシック"/>
          <w:b/>
          <w:i w:val="0"/>
          <w:sz w:val="21"/>
        </w:rPr>
        <w:t>移動支援事業も、外出の困りごととして段差・公共交通・費用が挙げられている以上、0のままにはできません。</w:t>
      </w:r>
    </w:p>
    <w:p>
      <w:pPr>
        <w:spacing w:before="60" w:after="60"/>
      </w:pPr>
      <w:r>
        <w:rPr>
          <w:rFonts w:ascii="游ゴシック" w:hAnsi="游ゴシック" w:eastAsia="游ゴシック"/>
          <w:b/>
          <w:i w:val="0"/>
          <w:sz w:val="21"/>
        </w:rPr>
        <w:t>第8期は、この4事業について、①使われなかった理由を確かめ、②施策（第2部）の手当てと対にして量を置きます。</w:t>
      </w:r>
      <w:r>
        <w:rPr>
          <w:rFonts w:ascii="游ゴシック" w:hAnsi="游ゴシック" w:eastAsia="游ゴシック"/>
          <w:b w:val="0"/>
          <w:i w:val="0"/>
          <w:sz w:val="21"/>
        </w:rPr>
        <w:t xml:space="preserve"> 量だけを立てて施策がなければ、また0になります。</w:t>
      </w: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【表33】第4部1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spacing w:before="40" w:after="160"/>
        <w:ind w:left="113"/>
      </w:pPr>
      <w:r>
        <w:rPr>
          <w:rFonts w:ascii="游ゴシック" w:hAnsi="游ゴシック" w:eastAsia="游ゴシック"/>
          <w:b/>
          <w:i w:val="0"/>
          <w:sz w:val="17"/>
        </w:rPr>
        <w:t>※ 条文が名指ししている会議体は2つではなく5つです。</w:t>
      </w:r>
      <w:r>
        <w:rPr>
          <w:rFonts w:ascii="游ゴシック" w:hAnsi="游ゴシック" w:eastAsia="游ゴシック"/>
          <w:b w:val="0"/>
          <w:i w:val="0"/>
          <w:sz w:val="17"/>
        </w:rPr>
        <w:t xml:space="preserve"> 障害者総合支援法第89条の3第5項（改正後）は、介護保険法第115条の48第1項の支援会議のほか、</w:t>
      </w:r>
      <w:r>
        <w:rPr>
          <w:rFonts w:ascii="游ゴシック" w:hAnsi="游ゴシック" w:eastAsia="游ゴシック"/>
          <w:b/>
          <w:i w:val="0"/>
          <w:sz w:val="17"/>
        </w:rPr>
        <w:t>社会福祉法第106条の3の2第1項の支援会議、住宅確保要配慮者に対する賃貸住宅の供給の促進に関する法律第81条第1項の支援協議会（居住支援協議会）、生活困窮者自立支援法第9条第1項の支援会議</w:t>
      </w:r>
      <w:r>
        <w:rPr>
          <w:rFonts w:ascii="游ゴシック" w:hAnsi="游ゴシック" w:eastAsia="游ゴシック"/>
          <w:b w:val="0"/>
          <w:i w:val="0"/>
          <w:sz w:val="17"/>
        </w:rPr>
        <w:t>、その他支援体制の構築に資する会議を挙げ、これらが組織され又は置かれているときは相互に連携を図るよう努めなければならないとしています。</w:t>
      </w:r>
      <w:r>
        <w:rPr>
          <w:rFonts w:ascii="游ゴシック" w:hAnsi="游ゴシック" w:eastAsia="游ゴシック"/>
          <w:b/>
          <w:i w:val="0"/>
          <w:sz w:val="17"/>
        </w:rPr>
        <w:t>同条は改正により全6項から全7項になります。</w:t>
      </w:r>
      <w:r>
        <w:rPr>
          <w:rFonts w:ascii="游ゴシック" w:hAnsi="游ゴシック" w:eastAsia="游ゴシック"/>
          <w:b w:val="0"/>
          <w:i w:val="0"/>
          <w:sz w:val="17"/>
        </w:rPr>
        <w:t xml:space="preserve"> 本町に置かれている会議体を確かめたうえで、連携の場と頻度を定めます。</w:t>
      </w:r>
    </w:p>
    <w:p>
      <w:pPr>
        <w:spacing w:before="40" w:after="160"/>
        <w:ind w:left="113"/>
      </w:pPr>
      <w:r>
        <w:rPr>
          <w:rFonts w:ascii="游ゴシック" w:hAnsi="游ゴシック" w:eastAsia="游ゴシック"/>
          <w:b w:val="0"/>
          <w:i w:val="0"/>
          <w:sz w:val="17"/>
        </w:rPr>
        <w:t>出所：障害者総合支援法（平成17年法律第123号）及び介護保険法（平成9年法律第123号）令和9年4月1日時点。e-Gov 法令API（デジタル庁）により令和8年10月19日に取得。</w:t>
      </w:r>
    </w:p>
    <w:p>
      <w:pPr>
        <w:spacing w:after="120"/>
      </w:pPr>
    </w:p>
    <w:p>
      <w:pPr>
        <w:pStyle w:val="Heading2"/>
        <w:keepNext/>
        <w:spacing w:before="180" w:after="100"/>
      </w:pPr>
      <w:bookmarkStart w:id="123" w:name="_Toc_023"/>
      <w:r>
        <w:rPr>
          <w:rFonts w:ascii="游ゴシック" w:hAnsi="游ゴシック" w:eastAsia="游ゴシック"/>
          <w:b/>
          <w:i w:val="0"/>
          <w:color w:val="2E74B5"/>
          <w:sz w:val="25"/>
        </w:rPr>
        <w:t>（参考）小規模市町村地域支援連携協働体制整備事業（令和9年4月1日新設）</w:t>
      </w:r>
      <w:bookmarkEnd w:id="123"/>
    </w:p>
    <w:p>
      <w:pPr>
        <w:spacing w:before="60" w:after="60"/>
      </w:pPr>
      <w:r>
        <w:rPr>
          <w:rFonts w:ascii="游ゴシック" w:hAnsi="游ゴシック" w:eastAsia="游ゴシック"/>
          <w:b/>
          <w:i w:val="0"/>
          <w:sz w:val="21"/>
        </w:rPr>
        <w:t>令和9年4月1日に、社会福祉法第106条の6が「小規模市町村地域支援連携協働体制整備事業」に差し替わります。</w:t>
      </w:r>
      <w:r>
        <w:rPr>
          <w:rFonts w:ascii="游ゴシック" w:hAnsi="游ゴシック" w:eastAsia="游ゴシック"/>
          <w:b/>
          <w:i w:val="0"/>
          <w:sz w:val="21"/>
        </w:rPr>
        <w:t>小規模市町村</w:t>
      </w:r>
      <w:r>
        <w:rPr>
          <w:rFonts w:ascii="游ゴシック" w:hAnsi="游ゴシック" w:eastAsia="游ゴシック"/>
          <w:b w:val="0"/>
          <w:i w:val="0"/>
          <w:sz w:val="21"/>
        </w:rPr>
        <w:t>とは、「その人口規模、その人口の減少の状況等からみて福祉サービスを提供する体制の確保に支障を生じ、又は生ずるおそれがあると認められる市町村として</w:t>
      </w:r>
      <w:r>
        <w:rPr>
          <w:rFonts w:ascii="游ゴシック" w:hAnsi="游ゴシック" w:eastAsia="游ゴシック"/>
          <w:b/>
          <w:i w:val="0"/>
          <w:sz w:val="21"/>
        </w:rPr>
        <w:t>厚生労働省令で定める基準</w:t>
      </w:r>
      <w:r>
        <w:rPr>
          <w:rFonts w:ascii="游ゴシック" w:hAnsi="游ゴシック" w:eastAsia="游ゴシック"/>
          <w:b w:val="0"/>
          <w:i w:val="0"/>
          <w:sz w:val="21"/>
        </w:rPr>
        <w:t>に該当するもの」をいいます（同条第1項）。該当する市町村は、この事業を</w:t>
      </w:r>
      <w:r>
        <w:rPr>
          <w:rFonts w:ascii="游ゴシック" w:hAnsi="游ゴシック" w:eastAsia="游ゴシック"/>
          <w:b/>
          <w:i w:val="0"/>
          <w:sz w:val="21"/>
        </w:rPr>
        <w:t>行うことができます</w:t>
      </w:r>
      <w:r>
        <w:rPr>
          <w:rFonts w:ascii="游ゴシック" w:hAnsi="游ゴシック" w:eastAsia="游ゴシック"/>
          <w:b w:val="0"/>
          <w:i w:val="0"/>
          <w:sz w:val="21"/>
        </w:rPr>
        <w:t>（任意）。</w:t>
      </w:r>
    </w:p>
    <w:p>
      <w:pPr>
        <w:spacing w:before="60" w:after="60"/>
      </w:pPr>
      <w:r>
        <w:rPr>
          <w:rFonts w:ascii="游ゴシック" w:hAnsi="游ゴシック" w:eastAsia="游ゴシック"/>
          <w:b/>
          <w:i w:val="0"/>
          <w:sz w:val="21"/>
        </w:rPr>
        <w:t>この事業は、障がい分野の事業を、高齢・子ども・生活困窮の各分野の事業と「一体のものとして実施する」ものです</w:t>
      </w:r>
      <w:r>
        <w:rPr>
          <w:rFonts w:ascii="游ゴシック" w:hAnsi="游ゴシック" w:eastAsia="游ゴシック"/>
          <w:b w:val="0"/>
          <w:i w:val="0"/>
          <w:sz w:val="21"/>
        </w:rPr>
        <w:t>（同条第2項）。障がい分野からは次の2つが対象に入ります。</w:t>
      </w:r>
    </w:p>
    <w:p>
      <w:pPr>
        <w:keepNext/>
        <w:spacing w:before="200" w:after="40"/>
      </w:pPr>
      <w:r>
        <w:rPr>
          <w:rFonts w:ascii="游ゴシック" w:hAnsi="游ゴシック" w:eastAsia="游ゴシック"/>
          <w:b/>
          <w:i w:val="0"/>
          <w:color w:val="1F4D78"/>
          <w:sz w:val="22"/>
        </w:rPr>
        <w:t>【表34】第4部（参考）小規模市町村地域支援連携協働体制整備事業（令和9年4月1日新設）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855"/>
        <w:gridCol w:w="442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障がい分野から対象となる事業</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一体に行う相手方</w:t>
            </w:r>
          </w:p>
        </w:tc>
      </w:tr>
      <w:tr>
        <w:tc>
          <w:tcPr>
            <w:tcW w:type="dxa" w:w="1474"/>
            <w:vAlign w:val="center"/>
          </w:tcPr>
          <w:p>
            <w:pPr>
              <w:keepNext/>
              <w:spacing w:before="20" w:after="20"/>
            </w:pPr>
            <w:r>
              <w:rPr>
                <w:rFonts w:ascii="游ゴシック" w:hAnsi="游ゴシック" w:eastAsia="游ゴシック"/>
                <w:b/>
                <w:i w:val="0"/>
                <w:sz w:val="17"/>
              </w:rPr>
              <w:t>相談</w:t>
            </w:r>
            <w:r>
              <w:rPr>
                <w:rFonts w:ascii="游ゴシック" w:hAnsi="游ゴシック" w:eastAsia="游ゴシック"/>
                <w:b w:val="0"/>
                <w:i w:val="0"/>
                <w:sz w:val="17"/>
              </w:rPr>
              <w:br/>
              <w:t>（第2項第1号）</w:t>
            </w:r>
          </w:p>
        </w:tc>
        <w:tc>
          <w:tcPr>
            <w:tcW w:type="dxa" w:w="3855"/>
            <w:vAlign w:val="center"/>
          </w:tcPr>
          <w:p>
            <w:pPr>
              <w:keepNext/>
              <w:spacing w:before="20" w:after="20"/>
            </w:pPr>
            <w:r>
              <w:rPr>
                <w:rFonts w:ascii="游ゴシック" w:hAnsi="游ゴシック" w:eastAsia="游ゴシック"/>
                <w:b/>
                <w:i w:val="0"/>
                <w:sz w:val="17"/>
              </w:rPr>
              <w:t>障害者総合支援法第77条第1項第3号</w:t>
            </w:r>
            <w:r>
              <w:rPr>
                <w:rFonts w:ascii="游ゴシック" w:hAnsi="游ゴシック" w:eastAsia="游ゴシック"/>
                <w:b w:val="0"/>
                <w:i w:val="0"/>
                <w:sz w:val="17"/>
              </w:rPr>
              <w:t>（障がいのある人等からの相談に応じ、必要な情報の提供等を行う事業）</w:t>
            </w:r>
          </w:p>
        </w:tc>
        <w:tc>
          <w:tcPr>
            <w:tcW w:type="dxa" w:w="4422"/>
            <w:vAlign w:val="center"/>
          </w:tcPr>
          <w:p>
            <w:pPr>
              <w:keepNext/>
              <w:spacing w:before="20" w:after="20"/>
            </w:pPr>
            <w:r>
              <w:rPr>
                <w:rFonts w:ascii="游ゴシック" w:hAnsi="游ゴシック" w:eastAsia="游ゴシック"/>
                <w:b w:val="0"/>
                <w:i w:val="0"/>
                <w:sz w:val="17"/>
              </w:rPr>
              <w:t>介護保険法第115条の45第2項第1号から第3号まで（地域包括支援センターの事業）／子ども・子育て支援法第59条第1号／生活困窮者自立支援法第3条第2項各号</w:t>
            </w:r>
          </w:p>
        </w:tc>
      </w:tr>
      <w:tr>
        <w:tc>
          <w:tcPr>
            <w:tcW w:type="dxa" w:w="1474"/>
            <w:vAlign w:val="center"/>
          </w:tcPr>
          <w:p>
            <w:pPr>
              <w:spacing w:before="20" w:after="20"/>
            </w:pPr>
            <w:r>
              <w:rPr>
                <w:rFonts w:ascii="游ゴシック" w:hAnsi="游ゴシック" w:eastAsia="游ゴシック"/>
                <w:b/>
                <w:i w:val="0"/>
                <w:sz w:val="17"/>
              </w:rPr>
              <w:t>地域づくり</w:t>
            </w:r>
            <w:r>
              <w:rPr>
                <w:rFonts w:ascii="游ゴシック" w:hAnsi="游ゴシック" w:eastAsia="游ゴシック"/>
                <w:b w:val="0"/>
                <w:i w:val="0"/>
                <w:sz w:val="17"/>
              </w:rPr>
              <w:br/>
              <w:t>（第2項第3号）</w:t>
            </w:r>
          </w:p>
        </w:tc>
        <w:tc>
          <w:tcPr>
            <w:tcW w:type="dxa" w:w="3855"/>
            <w:vAlign w:val="center"/>
          </w:tcPr>
          <w:p>
            <w:pPr>
              <w:spacing w:before="20" w:after="20"/>
            </w:pPr>
            <w:r>
              <w:rPr>
                <w:rFonts w:ascii="游ゴシック" w:hAnsi="游ゴシック" w:eastAsia="游ゴシック"/>
                <w:b/>
                <w:i w:val="0"/>
                <w:sz w:val="17"/>
              </w:rPr>
              <w:t>障害者総合支援法第77条第1項第9号</w:t>
            </w:r>
            <w:r>
              <w:rPr>
                <w:rFonts w:ascii="游ゴシック" w:hAnsi="游ゴシック" w:eastAsia="游ゴシック"/>
                <w:b w:val="0"/>
                <w:i w:val="0"/>
                <w:sz w:val="17"/>
              </w:rPr>
              <w:t>（創作的活動又は生産活動の機会の提供等＝地域活動支援センターに係る事業）</w:t>
            </w:r>
          </w:p>
        </w:tc>
        <w:tc>
          <w:tcPr>
            <w:tcW w:type="dxa" w:w="4422"/>
            <w:vAlign w:val="center"/>
          </w:tcPr>
          <w:p>
            <w:pPr>
              <w:spacing w:before="20" w:after="20"/>
            </w:pPr>
            <w:r>
              <w:rPr>
                <w:rFonts w:ascii="游ゴシック" w:hAnsi="游ゴシック" w:eastAsia="游ゴシック"/>
                <w:b w:val="0"/>
                <w:i w:val="0"/>
                <w:sz w:val="17"/>
              </w:rPr>
              <w:t>介護保険法第115条の45第1項第2号のうち厚生労働大臣が定めるもの／同条第2項第5号（生活支援体制整備事業）／子ども・子育て支援法第59条第9号</w:t>
            </w:r>
          </w:p>
        </w:tc>
      </w:tr>
    </w:tbl>
    <w:p>
      <w:pPr>
        <w:spacing w:after="40"/>
      </w:pPr>
    </w:p>
    <w:p>
      <w:pPr>
        <w:spacing w:before="60" w:after="60"/>
      </w:pPr>
      <w:r>
        <w:rPr>
          <w:rFonts w:ascii="游ゴシック" w:hAnsi="游ゴシック" w:eastAsia="游ゴシック"/>
          <w:b/>
          <w:i w:val="0"/>
          <w:sz w:val="21"/>
        </w:rPr>
        <w:t>本町が小規模市町村に該当するかどうかは、厚生労働省令の基準によります（【町データ待ち】）。</w:t>
      </w:r>
      <w:r>
        <w:rPr>
          <w:rFonts w:ascii="游ゴシック" w:hAnsi="游ゴシック" w:eastAsia="游ゴシック"/>
          <w:b w:val="0"/>
          <w:i w:val="0"/>
          <w:sz w:val="21"/>
        </w:rPr>
        <w:t xml:space="preserve"> 県に照会しています。</w:t>
      </w:r>
      <w:r>
        <w:rPr>
          <w:rFonts w:ascii="游ゴシック" w:hAnsi="游ゴシック" w:eastAsia="游ゴシック"/>
          <w:b/>
          <w:i w:val="0"/>
          <w:sz w:val="21"/>
        </w:rPr>
        <w:t>なお、基準を定める厚生労働省令は、令和8年10月19日現在、公布されていません</w:t>
      </w:r>
      <w:r>
        <w:rPr>
          <w:rFonts w:ascii="游ゴシック" w:hAnsi="游ゴシック" w:eastAsia="游ゴシック"/>
          <w:b w:val="0"/>
          <w:i w:val="0"/>
          <w:sz w:val="21"/>
        </w:rPr>
        <w:t>（社会福祉法施行規則を法令APIで確認。「小規模市町村」の語を含む条は1つもありません）。該当し、かつ本事業を行う場合は、</w:t>
      </w:r>
      <w:r>
        <w:rPr>
          <w:rFonts w:ascii="游ゴシック" w:hAnsi="游ゴシック" w:eastAsia="游ゴシック"/>
          <w:b/>
          <w:i w:val="0"/>
          <w:sz w:val="21"/>
        </w:rPr>
        <w:t>第3部第2章の地域生活支援事業（相談支援事業・地域活動支援センター機能強化事業）の実施体制が変わります。</w:t>
      </w:r>
      <w:r>
        <w:rPr>
          <w:rFonts w:ascii="游ゴシック" w:hAnsi="游ゴシック" w:eastAsia="游ゴシック"/>
          <w:b w:val="0"/>
          <w:i w:val="0"/>
          <w:sz w:val="21"/>
        </w:rPr>
        <w:t xml:space="preserve"> 省令と県の方針が示された段階で改めて整理します。</w:t>
      </w:r>
    </w:p>
    <w:p>
      <w:pPr>
        <w:spacing w:before="40" w:after="160"/>
        <w:ind w:left="113"/>
      </w:pPr>
      <w:r>
        <w:rPr>
          <w:rFonts w:ascii="游ゴシック" w:hAnsi="游ゴシック" w:eastAsia="游ゴシック"/>
          <w:b/>
          <w:i w:val="0"/>
          <w:sz w:val="17"/>
        </w:rPr>
        <w:t>※ 分野を超えて職員を配置できることが、この事業の実益です。</w:t>
      </w:r>
      <w:r>
        <w:rPr>
          <w:rFonts w:ascii="游ゴシック" w:hAnsi="游ゴシック" w:eastAsia="游ゴシック"/>
          <w:b w:val="0"/>
          <w:i w:val="0"/>
          <w:sz w:val="17"/>
        </w:rPr>
        <w:t xml:space="preserve"> 従事する職員及びその員数の基準は厚生労働省令で定められ、小規模市町村はこれに従うものとされます（同条第3項）。また、こども家庭センター、地域包括支援センター、</w:t>
      </w:r>
      <w:r>
        <w:rPr>
          <w:rFonts w:ascii="游ゴシック" w:hAnsi="游ゴシック" w:eastAsia="游ゴシック"/>
          <w:b/>
          <w:i w:val="0"/>
          <w:sz w:val="17"/>
        </w:rPr>
        <w:t>基幹相談支援センター</w:t>
      </w:r>
      <w:r>
        <w:rPr>
          <w:rFonts w:ascii="游ゴシック" w:hAnsi="游ゴシック" w:eastAsia="游ゴシック"/>
          <w:b w:val="0"/>
          <w:i w:val="0"/>
          <w:sz w:val="17"/>
        </w:rPr>
        <w:t>、生活困窮者自立支援法第3条第2項各号の事業を行う者その他の支援関係機関との緊密な連携を図るものとされ（同条第4項）、事務の全部又は一部を厚生労働省令で定める者に委託することができます（同条第5項）。</w:t>
      </w:r>
      <w:r>
        <w:rPr>
          <w:rFonts w:ascii="游ゴシック" w:hAnsi="游ゴシック" w:eastAsia="游ゴシック"/>
          <w:b/>
          <w:i w:val="0"/>
          <w:sz w:val="17"/>
        </w:rPr>
        <w:t>※ 高齢者計画（第4章3）にも同じ内容を記載しています。</w:t>
      </w:r>
    </w:p>
    <w:p>
      <w:pPr>
        <w:spacing w:before="40" w:after="160"/>
        <w:ind w:left="113"/>
      </w:pPr>
      <w:r>
        <w:rPr>
          <w:rFonts w:ascii="游ゴシック" w:hAnsi="游ゴシック" w:eastAsia="游ゴシック"/>
          <w:b w:val="0"/>
          <w:i w:val="0"/>
          <w:sz w:val="17"/>
        </w:rPr>
        <w:t>出所：社会福祉法（昭和26年法律第45号）令和9年4月1日時点。e-Gov 法令API（デジタル庁）により令和8年10月19日に取得。改正の本体は社会福祉法等の一部を改正する法律（令和8年法律第51号。公布 令和8年6月25日）。</w:t>
      </w:r>
    </w:p>
    <w:p>
      <w:pPr>
        <w:pStyle w:val="Heading2"/>
        <w:keepNext/>
        <w:spacing w:before="180" w:after="100"/>
      </w:pPr>
      <w:bookmarkStart w:id="124" w:name="_Toc_024"/>
      <w:r>
        <w:rPr>
          <w:rFonts w:ascii="游ゴシック" w:hAnsi="游ゴシック" w:eastAsia="游ゴシック"/>
          <w:b/>
          <w:i w:val="0"/>
          <w:color w:val="2E74B5"/>
          <w:sz w:val="25"/>
        </w:rPr>
        <w:t>3　進行管理と評価</w:t>
      </w:r>
      <w:bookmarkEnd w:id="124"/>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5" w:name="_Toc_025"/>
      <w:r>
        <w:rPr>
          <w:rFonts w:ascii="游ゴシック" w:hAnsi="游ゴシック" w:eastAsia="游ゴシック"/>
          <w:b/>
          <w:i w:val="0"/>
          <w:color w:val="2E74B5"/>
          <w:sz w:val="25"/>
        </w:rPr>
        <w:t>4　計画の周知</w:t>
      </w:r>
      <w:bookmarkEnd w:id="125"/>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6" w:name="_Toc_026"/>
      <w:r>
        <w:rPr>
          <w:rFonts w:ascii="游ゴシック" w:hAnsi="游ゴシック" w:eastAsia="游ゴシック"/>
          <w:b/>
          <w:i w:val="0"/>
          <w:color w:val="2E74B5"/>
          <w:sz w:val="30"/>
        </w:rPr>
        <w:t>資料編</w:t>
      </w:r>
      <w:bookmarkEnd w:id="126"/>
    </w:p>
    <w:p>
      <w:pPr>
        <w:pStyle w:val="Heading2"/>
        <w:keepNext/>
        <w:spacing w:before="180" w:after="100"/>
      </w:pPr>
      <w:bookmarkStart w:id="127" w:name="_Toc_027"/>
      <w:r>
        <w:rPr>
          <w:rFonts w:ascii="游ゴシック" w:hAnsi="游ゴシック" w:eastAsia="游ゴシック"/>
          <w:b/>
          <w:i w:val="0"/>
          <w:color w:val="2E74B5"/>
          <w:sz w:val="25"/>
        </w:rPr>
        <w:t>1　計画の策定経過</w:t>
      </w:r>
      <w:bookmarkEnd w:id="127"/>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8" w:name="_Toc_028"/>
      <w:r>
        <w:rPr>
          <w:rFonts w:ascii="游ゴシック" w:hAnsi="游ゴシック" w:eastAsia="游ゴシック"/>
          <w:b/>
          <w:i w:val="0"/>
          <w:color w:val="2E74B5"/>
          <w:sz w:val="25"/>
        </w:rPr>
        <w:t>2　小野町自立支援協議会委員名簿</w:t>
      </w:r>
      <w:bookmarkEnd w:id="128"/>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9" w:name="_Toc_029"/>
      <w:r>
        <w:rPr>
          <w:rFonts w:ascii="游ゴシック" w:hAnsi="游ゴシック" w:eastAsia="游ゴシック"/>
          <w:b/>
          <w:i w:val="0"/>
          <w:color w:val="2E74B5"/>
          <w:sz w:val="25"/>
        </w:rPr>
        <w:t>3　パブリックコメントの結果</w:t>
      </w:r>
      <w:bookmarkEnd w:id="129"/>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30" w:name="_Toc_030"/>
      <w:r>
        <w:rPr>
          <w:rFonts w:ascii="游ゴシック" w:hAnsi="游ゴシック" w:eastAsia="游ゴシック"/>
          <w:b/>
          <w:i w:val="0"/>
          <w:color w:val="2E74B5"/>
          <w:sz w:val="25"/>
        </w:rPr>
        <w:t>4　用語の説明</w:t>
      </w:r>
      <w:bookmarkEnd w:id="130"/>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1" w:name="_Toc_031"/>
      <w:r>
        <w:rPr>
          <w:rFonts w:ascii="游ゴシック" w:hAnsi="游ゴシック" w:eastAsia="游ゴシック"/>
          <w:b/>
          <w:i w:val="0"/>
          <w:color w:val="2E74B5"/>
          <w:sz w:val="25"/>
        </w:rPr>
        <w:t>5　関係法令</w:t>
      </w:r>
      <w:bookmarkEnd w:id="131"/>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