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本素案には確定していない箇所が166あります。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-8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町からのデータ受領を待っているのは92箇所（55.4％）で、最も多いのは協議会で設定する成果指標の目標値55箇所（33.1％）です。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33.1％</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92</w:t>
            </w:r>
          </w:p>
        </w:tc>
        <w:tc>
          <w:tcPr>
            <w:tcW w:type="dxa" w:w="1314"/>
            <w:vAlign w:val="center"/>
          </w:tcPr>
          <w:p>
            <w:pPr>
              <w:spacing w:before="20" w:after="20"/>
            </w:pPr>
            <w:r>
              <w:rPr>
                <w:rFonts w:ascii="游ゴシック" w:hAnsi="游ゴシック" w:eastAsia="游ゴシック"/>
                <w:b/>
                <w:i w:val="0"/>
                <w:sz w:val="17"/>
              </w:rPr>
              <w:t>55.4％</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7.8％</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3.6％</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w:t>
      </w:r>
      <w:r>
        <w:rPr>
          <w:rFonts w:ascii="游ゴシック" w:hAnsi="游ゴシック" w:eastAsia="游ゴシック"/>
          <w:b/>
          <w:i w:val="0"/>
          <w:sz w:val="21"/>
        </w:rPr>
        <w:t>同条第7項（改正後第8項）</w:t>
      </w:r>
      <w:r>
        <w:rPr>
          <w:rFonts w:ascii="游ゴシック" w:hAnsi="游ゴシック" w:eastAsia="游ゴシック"/>
          <w:b w:val="0"/>
          <w:i w:val="0"/>
          <w:sz w:val="21"/>
        </w:rPr>
        <w:t>が、市町村老人福祉計画と一体のものとして作成することを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3"/>
        <w:gridCol w:w="1651"/>
        <w:gridCol w:w="5817"/>
      </w:tblGrid>
      <w:tr>
        <w:tc>
          <w:tcPr>
            <w:tcW w:type="dxa" w:w="2283"/>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51"/>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81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283"/>
            <w:vAlign w:val="center"/>
          </w:tcPr>
          <w:p>
            <w:pPr>
              <w:spacing w:before="20" w:after="20"/>
            </w:pPr>
            <w:r>
              <w:rPr>
                <w:rFonts w:ascii="游ゴシック" w:hAnsi="游ゴシック" w:eastAsia="游ゴシック"/>
                <w:b w:val="0"/>
                <w:i w:val="0"/>
                <w:sz w:val="17"/>
              </w:rPr>
              <w:t>小野町総合計画</w:t>
            </w:r>
          </w:p>
        </w:tc>
        <w:tc>
          <w:tcPr>
            <w:tcW w:type="dxa" w:w="1651"/>
            <w:vAlign w:val="center"/>
          </w:tcPr>
          <w:p>
            <w:pPr>
              <w:spacing w:before="20" w:after="20"/>
            </w:pPr>
            <w:r>
              <w:rPr>
                <w:rFonts w:ascii="游ゴシック" w:hAnsi="游ゴシック" w:eastAsia="游ゴシック"/>
                <w:b w:val="0"/>
                <w:i w:val="0"/>
                <w:sz w:val="17"/>
              </w:rPr>
              <w:t>町の最上位計画</w:t>
            </w:r>
          </w:p>
        </w:tc>
        <w:tc>
          <w:tcPr>
            <w:tcW w:type="dxa" w:w="581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283"/>
            <w:vAlign w:val="center"/>
          </w:tcPr>
          <w:p>
            <w:pPr>
              <w:spacing w:before="20" w:after="20"/>
            </w:pPr>
            <w:r>
              <w:rPr>
                <w:rFonts w:ascii="游ゴシック" w:hAnsi="游ゴシック" w:eastAsia="游ゴシック"/>
                <w:b/>
                <w:i w:val="0"/>
                <w:sz w:val="17"/>
              </w:rPr>
              <w:t>小野町第3期地域福祉計画</w:t>
            </w:r>
          </w:p>
        </w:tc>
        <w:tc>
          <w:tcPr>
            <w:tcW w:type="dxa" w:w="1651"/>
            <w:vAlign w:val="center"/>
          </w:tcPr>
          <w:p>
            <w:pPr>
              <w:spacing w:before="20" w:after="20"/>
            </w:pPr>
            <w:r>
              <w:rPr>
                <w:rFonts w:ascii="游ゴシック" w:hAnsi="游ゴシック" w:eastAsia="游ゴシック"/>
                <w:b w:val="0"/>
                <w:i w:val="0"/>
                <w:sz w:val="17"/>
              </w:rPr>
              <w:t>令和8〜12年度</w:t>
            </w:r>
          </w:p>
        </w:tc>
        <w:tc>
          <w:tcPr>
            <w:tcW w:type="dxa" w:w="581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283"/>
            <w:vAlign w:val="center"/>
          </w:tcPr>
          <w:p>
            <w:pPr>
              <w:spacing w:before="20" w:after="20"/>
            </w:pPr>
            <w:r>
              <w:rPr>
                <w:rFonts w:ascii="游ゴシック" w:hAnsi="游ゴシック" w:eastAsia="游ゴシック"/>
                <w:b w:val="0"/>
                <w:i w:val="0"/>
                <w:sz w:val="17"/>
              </w:rPr>
              <w:t>おのまち障がい者計画・障がい福祉計画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283"/>
            <w:vAlign w:val="center"/>
          </w:tcPr>
          <w:p>
            <w:pPr>
              <w:spacing w:before="20" w:after="20"/>
            </w:pPr>
            <w:r>
              <w:rPr>
                <w:rFonts w:ascii="游ゴシック" w:hAnsi="游ゴシック" w:eastAsia="游ゴシック"/>
                <w:b w:val="0"/>
                <w:i w:val="0"/>
                <w:sz w:val="17"/>
              </w:rPr>
              <w:t>小野町こども計画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283"/>
            <w:vAlign w:val="center"/>
          </w:tcPr>
          <w:p>
            <w:pPr>
              <w:spacing w:before="20" w:after="20"/>
            </w:pPr>
            <w:r>
              <w:rPr>
                <w:rFonts w:ascii="游ゴシック" w:hAnsi="游ゴシック" w:eastAsia="游ゴシック"/>
                <w:b w:val="0"/>
                <w:i w:val="0"/>
                <w:sz w:val="17"/>
              </w:rPr>
              <w:t>小野町地域公共交通計画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283"/>
            <w:vAlign w:val="center"/>
          </w:tcPr>
          <w:p>
            <w:pPr>
              <w:spacing w:before="20" w:after="20"/>
            </w:pPr>
            <w:r>
              <w:rPr>
                <w:rFonts w:ascii="游ゴシック" w:hAnsi="游ゴシック" w:eastAsia="游ゴシック"/>
                <w:b w:val="0"/>
                <w:i w:val="0"/>
                <w:sz w:val="17"/>
              </w:rPr>
              <w:t>小野町地域防災計画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283"/>
            <w:vAlign w:val="center"/>
          </w:tcPr>
          <w:p>
            <w:pPr>
              <w:spacing w:before="20" w:after="20"/>
            </w:pPr>
            <w:r>
              <w:rPr>
                <w:rFonts w:ascii="游ゴシック" w:hAnsi="游ゴシック" w:eastAsia="游ゴシック"/>
                <w:b w:val="0"/>
                <w:i w:val="0"/>
                <w:sz w:val="17"/>
              </w:rPr>
              <w:t>小野町過疎地域持続的発展計画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283"/>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283"/>
            <w:vAlign w:val="center"/>
          </w:tcPr>
          <w:p>
            <w:pPr>
              <w:spacing w:before="20" w:after="20"/>
            </w:pPr>
            <w:r>
              <w:rPr>
                <w:rFonts w:ascii="游ゴシック" w:hAnsi="游ゴシック" w:eastAsia="游ゴシック"/>
                <w:b/>
                <w:i w:val="0"/>
                <w:sz w:val="17"/>
              </w:rPr>
              <w:t>福島県高齢者居住安定確保計画</w:t>
            </w:r>
          </w:p>
        </w:tc>
        <w:tc>
          <w:tcPr>
            <w:tcW w:type="dxa" w:w="1651"/>
            <w:vAlign w:val="center"/>
          </w:tcPr>
          <w:p>
            <w:pPr>
              <w:spacing w:before="20" w:after="20"/>
            </w:pPr>
            <w:r>
              <w:rPr>
                <w:rFonts w:ascii="游ゴシック" w:hAnsi="游ゴシック" w:eastAsia="游ゴシック"/>
                <w:b/>
                <w:i w:val="0"/>
                <w:sz w:val="17"/>
              </w:rPr>
              <w:t>令和4〜8年度</w:t>
            </w:r>
          </w:p>
        </w:tc>
        <w:tc>
          <w:tcPr>
            <w:tcW w:type="dxa" w:w="5817"/>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283"/>
            <w:vAlign w:val="center"/>
          </w:tcPr>
          <w:p>
            <w:pPr>
              <w:spacing w:before="20" w:after="20"/>
            </w:pPr>
            <w:r>
              <w:rPr>
                <w:rFonts w:ascii="游ゴシック" w:hAnsi="游ゴシック" w:eastAsia="游ゴシック"/>
                <w:b w:val="0"/>
                <w:i w:val="0"/>
                <w:sz w:val="17"/>
              </w:rPr>
              <w:t>福島県住生活基本計画</w:t>
            </w:r>
          </w:p>
        </w:tc>
        <w:tc>
          <w:tcPr>
            <w:tcW w:type="dxa" w:w="1651"/>
            <w:vAlign w:val="center"/>
          </w:tcPr>
          <w:p>
            <w:pPr>
              <w:spacing w:before="20" w:after="20"/>
            </w:pPr>
            <w:r>
              <w:rPr>
                <w:rFonts w:ascii="游ゴシック" w:hAnsi="游ゴシック" w:eastAsia="游ゴシック"/>
                <w:b w:val="0"/>
                <w:i w:val="0"/>
                <w:sz w:val="17"/>
              </w:rPr>
              <w:t>令和4〜13年度</w:t>
            </w:r>
          </w:p>
        </w:tc>
        <w:tc>
          <w:tcPr>
            <w:tcW w:type="dxa" w:w="5817"/>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283"/>
            <w:vAlign w:val="center"/>
          </w:tcPr>
          <w:p>
            <w:pPr>
              <w:spacing w:before="20" w:after="20"/>
            </w:pPr>
            <w:r>
              <w:rPr>
                <w:rFonts w:ascii="游ゴシック" w:hAnsi="游ゴシック" w:eastAsia="游ゴシック"/>
                <w:b w:val="0"/>
                <w:i w:val="0"/>
                <w:sz w:val="17"/>
              </w:rPr>
              <w:t>福島県賃貸住宅供給促進計画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283"/>
            <w:vAlign w:val="center"/>
          </w:tcPr>
          <w:p>
            <w:pPr>
              <w:spacing w:before="20" w:after="20"/>
            </w:pPr>
            <w:r>
              <w:rPr>
                <w:rFonts w:ascii="游ゴシック" w:hAnsi="游ゴシック" w:eastAsia="游ゴシック"/>
                <w:b/>
                <w:i w:val="0"/>
                <w:sz w:val="17"/>
              </w:rPr>
              <w:t>福島県保健医療計画（第八次）・地域医療構想</w:t>
            </w:r>
          </w:p>
        </w:tc>
        <w:tc>
          <w:tcPr>
            <w:tcW w:type="dxa" w:w="1651"/>
            <w:vAlign w:val="center"/>
          </w:tcPr>
          <w:p>
            <w:pPr>
              <w:spacing w:before="20" w:after="20"/>
            </w:pPr>
            <w:r>
              <w:rPr>
                <w:rFonts w:ascii="游ゴシック" w:hAnsi="游ゴシック" w:eastAsia="游ゴシック"/>
                <w:b w:val="0"/>
                <w:i w:val="0"/>
                <w:sz w:val="17"/>
              </w:rPr>
              <w:t>令和6〜11年度</w:t>
            </w:r>
          </w:p>
        </w:tc>
        <w:tc>
          <w:tcPr>
            <w:tcW w:type="dxa" w:w="5817"/>
            <w:vAlign w:val="center"/>
          </w:tcPr>
          <w:p>
            <w:pPr>
              <w:spacing w:before="20" w:after="20"/>
            </w:pPr>
            <w:r>
              <w:rPr>
                <w:rFonts w:ascii="游ゴシック" w:hAnsi="游ゴシック" w:eastAsia="游ゴシック"/>
                <w:b/>
                <w:i w:val="0"/>
                <w:sz w:val="17"/>
              </w:rPr>
              <w:t>3課長連名通知が整合を求めるもの</w:t>
            </w:r>
            <w:r>
              <w:rPr>
                <w:rFonts w:ascii="游ゴシック" w:hAnsi="游ゴシック" w:eastAsia="游ゴシック"/>
                <w:b w:val="0"/>
                <w:i w:val="0"/>
                <w:sz w:val="17"/>
              </w:rPr>
              <w:t>（法律上の義務ではありません。下記の※を参照）。在宅医療の体制、病床の機能分化・連携（第5章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第117条第10項（改正後第11項）は、地域における医療及び介護の総合的な確保の促進に関する法律第5条第1項の市町村計画に対して整合性の確保を、同条第11項（改正後第12項）は、市町村地域福祉計画（社会福祉法第107条第1項）・市町村高齢者居住安定確保計画（高齢者住まい法第4条の2第1項）その他の計画に対して調和を求めています。</w:t>
      </w:r>
      <w:r>
        <w:rPr>
          <w:rFonts w:ascii="游ゴシック" w:hAnsi="游ゴシック" w:eastAsia="游ゴシック"/>
          <w:b/>
          <w:i w:val="0"/>
          <w:sz w:val="17"/>
        </w:rPr>
        <w:t>※ 医療計画（医療法第30条の4第1項）との整合性の確保は、第118条第10項が都道府県介護保険事業支援計画に求めるもので、市町村介護保険事業計画の法律上の義務ではありません。</w:t>
      </w:r>
      <w:r>
        <w:rPr>
          <w:rFonts w:ascii="游ゴシック" w:hAnsi="游ゴシック" w:eastAsia="游ゴシック"/>
          <w:b/>
          <w:i w:val="0"/>
          <w:sz w:val="17"/>
        </w:rPr>
        <w:t>第117条には「医療計画」の語が1度も現れません</w:t>
      </w:r>
      <w:r>
        <w:rPr>
          <w:rFonts w:ascii="游ゴシック" w:hAnsi="游ゴシック" w:eastAsia="游ゴシック"/>
          <w:b w:val="0"/>
          <w:i w:val="0"/>
          <w:sz w:val="17"/>
        </w:rPr>
        <w:t>（現行条文・e-Gov 法令API 令和8年10月19日取得で確認）。</w:t>
      </w:r>
      <w:r>
        <w:rPr>
          <w:rFonts w:ascii="游ゴシック" w:hAnsi="游ゴシック" w:eastAsia="游ゴシック"/>
          <w:b/>
          <w:i w:val="0"/>
          <w:sz w:val="17"/>
        </w:rPr>
        <w:t>本計画が県保健医療計画との整合を図るのは、下記の3課長連名通知によるものです。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spacing w:before="40" w:after="160"/>
        <w:ind w:left="113"/>
      </w:pPr>
      <w:r>
        <w:rPr>
          <w:rFonts w:ascii="游ゴシック" w:hAnsi="游ゴシック" w:eastAsia="游ゴシック"/>
          <w:b/>
          <w:i w:val="0"/>
          <w:sz w:val="17"/>
        </w:rPr>
        <w:t>※ 第9期計画（令和6年3月）第4章（１）③は、「老人ホームやサービス付き高齢者向け住宅は…町では県や近隣市町村との連携を強化し、施設の設置状況や介護サービスの提供状況などの把握に努めます」としていました。</w:t>
      </w:r>
      <w:r>
        <w:rPr>
          <w:rFonts w:ascii="游ゴシック" w:hAnsi="游ゴシック" w:eastAsia="游ゴシック"/>
          <w:b/>
          <w:i w:val="0"/>
          <w:sz w:val="17"/>
        </w:rPr>
        <w:t>把握に努める段階であったものが、改正により勘案しなければならないものになります。</w:t>
      </w:r>
      <w:r>
        <w:rPr>
          <w:rFonts w:ascii="游ゴシック" w:hAnsi="游ゴシック" w:eastAsia="游ゴシック"/>
          <w:b w:val="0"/>
          <w:i w:val="0"/>
          <w:sz w:val="17"/>
        </w:rPr>
        <w:t>入居定員総数は、老人福祉法第29条第1項の届出と高齢者住まい法の登録をいずれも</w:t>
      </w:r>
      <w:r>
        <w:rPr>
          <w:rFonts w:ascii="游ゴシック" w:hAnsi="游ゴシック" w:eastAsia="游ゴシック"/>
          <w:b/>
          <w:i w:val="0"/>
          <w:sz w:val="17"/>
        </w:rPr>
        <w:t>県</w:t>
      </w:r>
      <w:r>
        <w:rPr>
          <w:rFonts w:ascii="游ゴシック" w:hAnsi="游ゴシック" w:eastAsia="游ゴシック"/>
          <w:b w:val="0"/>
          <w:i w:val="0"/>
          <w:sz w:val="17"/>
        </w:rPr>
        <w:t>が受けるため、県への照会が要ります（【町データ待ち】）。</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spacing w:after="120"/>
      </w:pPr>
    </w:p>
    <w:p>
      <w:pPr>
        <w:pStyle w:val="Heading3"/>
        <w:keepNext/>
        <w:spacing w:before="180" w:after="80"/>
      </w:pPr>
      <w:r>
        <w:rPr>
          <w:rFonts w:ascii="游ゴシック" w:hAnsi="游ゴシック" w:eastAsia="游ゴシック"/>
          <w:b/>
          <w:i w:val="0"/>
          <w:color w:val="1F4D78"/>
          <w:sz w:val="22"/>
        </w:rPr>
        <w:t>（参考）小規模市町村地域支援連携協働体制整備事業（令和9年4月1日新設）</w:t>
      </w:r>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に該当するもの」をいいます（同条第1項）。該当する市町村は、包括的な支援体制の整備を促進するため、厚生労働省令で定めるところにより、この事業を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この事業は、分野ごとに別々に行っている事業を「一体のものとして実施する」点に要点があります</w:t>
      </w:r>
      <w:r>
        <w:rPr>
          <w:rFonts w:ascii="游ゴシック" w:hAnsi="游ゴシック" w:eastAsia="游ゴシック"/>
          <w:b w:val="0"/>
          <w:i w:val="0"/>
          <w:sz w:val="21"/>
        </w:rPr>
        <w:t>（同条第2項）。一体的に行う事業は次のとおりで、</w:t>
      </w:r>
      <w:r>
        <w:rPr>
          <w:rFonts w:ascii="游ゴシック" w:hAnsi="游ゴシック" w:eastAsia="游ゴシック"/>
          <w:b/>
          <w:i w:val="0"/>
          <w:sz w:val="21"/>
        </w:rPr>
        <w:t>高齢者分野の事業がそのまま対象に含まれています。</w:t>
      </w:r>
    </w:p>
    <w:p>
      <w:pPr>
        <w:keepNext/>
        <w:spacing w:before="200" w:after="40"/>
      </w:pPr>
      <w:r>
        <w:rPr>
          <w:rFonts w:ascii="游ゴシック" w:hAnsi="游ゴシック" w:eastAsia="游ゴシック"/>
          <w:b/>
          <w:i w:val="0"/>
          <w:color w:val="1F4D78"/>
          <w:sz w:val="22"/>
        </w:rPr>
        <w:t>【表51】第4章3　関連計画との役割分担（3）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一体的に行う事業（4分野すべてを行うもの）</w:t>
            </w:r>
          </w:p>
        </w:tc>
      </w:tr>
      <w:tr>
        <w:tc>
          <w:tcPr>
            <w:tcW w:type="dxa" w:w="1928"/>
            <w:vAlign w:val="center"/>
          </w:tcPr>
          <w:p>
            <w:pPr>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t>（第2項第1号）</w:t>
            </w:r>
          </w:p>
        </w:tc>
        <w:tc>
          <w:tcPr>
            <w:tcW w:type="dxa" w:w="7824"/>
            <w:vAlign w:val="center"/>
          </w:tcPr>
          <w:p>
            <w:pPr>
              <w:spacing w:before="20" w:after="20"/>
            </w:pPr>
            <w:r>
              <w:rPr>
                <w:rFonts w:ascii="游ゴシック" w:hAnsi="游ゴシック" w:eastAsia="游ゴシック"/>
                <w:b/>
                <w:i w:val="0"/>
                <w:sz w:val="17"/>
              </w:rPr>
              <w:t>介護保険法第115条の45第2項第1号から第3号まで</w:t>
            </w:r>
            <w:r>
              <w:rPr>
                <w:rFonts w:ascii="游ゴシック" w:hAnsi="游ゴシック" w:eastAsia="游ゴシック"/>
                <w:b w:val="0"/>
                <w:i w:val="0"/>
                <w:sz w:val="17"/>
              </w:rPr>
              <w:t>（総合相談支援・権利擁護・包括的継続的ケアマネジメント支援＝</w:t>
            </w:r>
            <w:r>
              <w:rPr>
                <w:rFonts w:ascii="游ゴシック" w:hAnsi="游ゴシック" w:eastAsia="游ゴシック"/>
                <w:b/>
                <w:i w:val="0"/>
                <w:sz w:val="17"/>
              </w:rPr>
              <w:t>地域包括支援センターの事業</w:t>
            </w:r>
            <w:r>
              <w:rPr>
                <w:rFonts w:ascii="游ゴシック" w:hAnsi="游ゴシック" w:eastAsia="游ゴシック"/>
                <w:b w:val="0"/>
                <w:i w:val="0"/>
                <w:sz w:val="17"/>
              </w:rPr>
              <w:t>）／障害者総合支援法第77条第1項第3号（相談支援）／子ども・子育て支援法第59条第1号／生活困窮者自立支援法第3条第2項各号</w:t>
            </w:r>
          </w:p>
        </w:tc>
      </w:tr>
      <w:tr>
        <w:tc>
          <w:tcPr>
            <w:tcW w:type="dxa" w:w="1928"/>
            <w:vAlign w:val="center"/>
          </w:tcPr>
          <w:p>
            <w:pPr>
              <w:keepNext/>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t>（第2項第3号）</w:t>
            </w:r>
          </w:p>
        </w:tc>
        <w:tc>
          <w:tcPr>
            <w:tcW w:type="dxa" w:w="7824"/>
            <w:vAlign w:val="center"/>
          </w:tcPr>
          <w:p>
            <w:pPr>
              <w:keepNext/>
              <w:spacing w:before="20" w:after="20"/>
            </w:pPr>
            <w:r>
              <w:rPr>
                <w:rFonts w:ascii="游ゴシック" w:hAnsi="游ゴシック" w:eastAsia="游ゴシック"/>
                <w:b/>
                <w:i w:val="0"/>
                <w:sz w:val="17"/>
              </w:rPr>
              <w:t>介護保険法第115条の45第1項第2号のうち厚生労働大臣が定めるもの</w:t>
            </w:r>
            <w:r>
              <w:rPr>
                <w:rFonts w:ascii="游ゴシック" w:hAnsi="游ゴシック" w:eastAsia="游ゴシック"/>
                <w:b w:val="0"/>
                <w:i w:val="0"/>
                <w:sz w:val="17"/>
              </w:rPr>
              <w:t>（一般介護予防事業の一部）／</w:t>
            </w:r>
            <w:r>
              <w:rPr>
                <w:rFonts w:ascii="游ゴシック" w:hAnsi="游ゴシック" w:eastAsia="游ゴシック"/>
                <w:b/>
                <w:i w:val="0"/>
                <w:sz w:val="17"/>
              </w:rPr>
              <w:t>同条第2項第5号（生活支援体制整備事業）</w:t>
            </w:r>
            <w:r>
              <w:rPr>
                <w:rFonts w:ascii="游ゴシック" w:hAnsi="游ゴシック" w:eastAsia="游ゴシック"/>
                <w:b w:val="0"/>
                <w:i w:val="0"/>
                <w:sz w:val="17"/>
              </w:rPr>
              <w:t>／障害者総合支援法第77条第1項第9号／子ども・子育て支援法第59条第9号</w:t>
            </w:r>
          </w:p>
        </w:tc>
      </w:tr>
      <w:tr>
        <w:tc>
          <w:tcPr>
            <w:tcW w:type="dxa" w:w="1928"/>
            <w:vAlign w:val="center"/>
          </w:tcPr>
          <w:p>
            <w:pPr>
              <w:spacing w:before="20" w:after="20"/>
            </w:pPr>
            <w:r>
              <w:rPr>
                <w:rFonts w:ascii="游ゴシック" w:hAnsi="游ゴシック" w:eastAsia="游ゴシック"/>
                <w:b/>
                <w:i w:val="0"/>
                <w:sz w:val="17"/>
              </w:rPr>
              <w:t>連携・協働の促進</w:t>
            </w:r>
            <w:r>
              <w:rPr>
                <w:rFonts w:ascii="游ゴシック" w:hAnsi="游ゴシック" w:eastAsia="游ゴシック"/>
                <w:b w:val="0"/>
                <w:i w:val="0"/>
                <w:sz w:val="17"/>
              </w:rPr>
              <w:t>（第2項第2号）</w:t>
            </w:r>
          </w:p>
        </w:tc>
        <w:tc>
          <w:tcPr>
            <w:tcW w:type="dxa" w:w="7824"/>
            <w:vAlign w:val="center"/>
          </w:tcPr>
          <w:p>
            <w:pPr>
              <w:spacing w:before="20" w:after="20"/>
            </w:pPr>
            <w:r>
              <w:rPr>
                <w:rFonts w:ascii="游ゴシック" w:hAnsi="游ゴシック" w:eastAsia="游ゴシック"/>
                <w:b w:val="0"/>
                <w:i w:val="0"/>
                <w:sz w:val="17"/>
              </w:rPr>
              <w:t>地域住民等と支援関係機関の相互の連携又は協働の促進のための事業</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 xml:space="preserve"> 社会福祉法施行規則について法令APIで確かめたところ、</w:t>
      </w:r>
      <w:r>
        <w:rPr>
          <w:rFonts w:ascii="游ゴシック" w:hAnsi="游ゴシック" w:eastAsia="游ゴシック"/>
          <w:b/>
          <w:i w:val="0"/>
          <w:sz w:val="21"/>
        </w:rPr>
        <w:t>「小規模市町村」の語を含む条は1つもありません。</w:t>
      </w:r>
      <w:r>
        <w:rPr>
          <w:rFonts w:ascii="游ゴシック" w:hAnsi="游ゴシック" w:eastAsia="游ゴシック"/>
          <w:b w:val="0"/>
          <w:i w:val="0"/>
          <w:sz w:val="21"/>
        </w:rPr>
        <w:t xml:space="preserve"> 該当し、かつ本事業を行う場合は、</w:t>
      </w:r>
      <w:r>
        <w:rPr>
          <w:rFonts w:ascii="游ゴシック" w:hAnsi="游ゴシック" w:eastAsia="游ゴシック"/>
          <w:b/>
          <w:i w:val="0"/>
          <w:sz w:val="21"/>
        </w:rPr>
        <w:t>地域包括支援センターの3事業と生活支援体制整備事業を、障がい・子ども・生活困窮の各事業と一体に実施することになります。</w:t>
      </w:r>
      <w:r>
        <w:rPr>
          <w:rFonts w:ascii="游ゴシック" w:hAnsi="游ゴシック" w:eastAsia="游ゴシック"/>
          <w:b w:val="0"/>
          <w:i w:val="0"/>
          <w:sz w:val="21"/>
        </w:rPr>
        <w:t>本計画の第6章4（地域支援事業）の立て方に関わるため、省令と県の方針が示された段階で改めて整理します。</w:t>
      </w:r>
    </w:p>
    <w:p>
      <w:pPr>
        <w:spacing w:before="40" w:after="160"/>
        <w:ind w:left="113"/>
      </w:pPr>
      <w:r>
        <w:rPr>
          <w:rFonts w:ascii="游ゴシック" w:hAnsi="游ゴシック" w:eastAsia="游ゴシック"/>
          <w:b/>
          <w:i w:val="0"/>
          <w:sz w:val="17"/>
        </w:rPr>
        <w:t>※ 従事する職員及びその員数の基準は厚生労働省令で定められ、小規模市町村はこれに従うものとされます</w:t>
      </w:r>
      <w:r>
        <w:rPr>
          <w:rFonts w:ascii="游ゴシック" w:hAnsi="游ゴシック" w:eastAsia="游ゴシック"/>
          <w:b w:val="0"/>
          <w:i w:val="0"/>
          <w:sz w:val="17"/>
        </w:rPr>
        <w:t>（同条第3項）。</w:t>
      </w:r>
      <w:r>
        <w:rPr>
          <w:rFonts w:ascii="游ゴシック" w:hAnsi="游ゴシック" w:eastAsia="游ゴシック"/>
          <w:b/>
          <w:i w:val="0"/>
          <w:sz w:val="17"/>
        </w:rPr>
        <w:t>分野を超えて職員を配置できることが、この事業の実益です。</w:t>
      </w:r>
      <w:r>
        <w:rPr>
          <w:rFonts w:ascii="游ゴシック" w:hAnsi="游ゴシック" w:eastAsia="游ゴシック"/>
          <w:b w:val="0"/>
          <w:i w:val="0"/>
          <w:sz w:val="17"/>
        </w:rPr>
        <w:t xml:space="preserve"> また、こども家庭センター、地域包括支援センター、基幹相談支援センター、生活困窮者自立支援法第3条第2項各号の事業を行う者その他の支援関係機関との緊密な連携を図るものとされ（同条第4項）、事務の全部又は一部を厚生労働省令で定める者に</w:t>
      </w:r>
      <w:r>
        <w:rPr>
          <w:rFonts w:ascii="游ゴシック" w:hAnsi="游ゴシック" w:eastAsia="游ゴシック"/>
          <w:b/>
          <w:i w:val="0"/>
          <w:sz w:val="17"/>
        </w:rPr>
        <w:t>委託することができます</w:t>
      </w:r>
      <w:r>
        <w:rPr>
          <w:rFonts w:ascii="游ゴシック" w:hAnsi="游ゴシック" w:eastAsia="游ゴシック"/>
          <w:b w:val="0"/>
          <w:i w:val="0"/>
          <w:sz w:val="17"/>
        </w:rPr>
        <w:t>（同条第5項）。</w:t>
      </w:r>
      <w:r>
        <w:rPr>
          <w:rFonts w:ascii="游ゴシック" w:hAnsi="游ゴシック" w:eastAsia="游ゴシック"/>
          <w:b/>
          <w:i w:val="0"/>
          <w:sz w:val="17"/>
        </w:rPr>
        <w:t>※ 改正前の第106条の6（支援会議）は、第106条の3の2に移ります。</w:t>
      </w:r>
      <w:r>
        <w:rPr>
          <w:rFonts w:ascii="游ゴシック" w:hAnsi="游ゴシック" w:eastAsia="游ゴシック"/>
          <w:b w:val="0"/>
          <w:i w:val="0"/>
          <w:sz w:val="17"/>
        </w:rPr>
        <w:t xml:space="preserve"> 第4章4に掲げる相互連携の規定（介護保険法第115条の48第5項）が名指ししている社会福祉法の支援会議は、</w:t>
      </w:r>
      <w:r>
        <w:rPr>
          <w:rFonts w:ascii="游ゴシック" w:hAnsi="游ゴシック" w:eastAsia="游ゴシック"/>
          <w:b/>
          <w:i w:val="0"/>
          <w:sz w:val="17"/>
        </w:rPr>
        <w:t>この移った後の条のもの</w:t>
      </w:r>
      <w:r>
        <w:rPr>
          <w:rFonts w:ascii="游ゴシック" w:hAnsi="游ゴシック" w:eastAsia="游ゴシック"/>
          <w:b w:val="0"/>
          <w:i w:val="0"/>
          <w:sz w:val="17"/>
        </w:rPr>
        <w:t>です。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spacing w:before="40" w:after="160"/>
        <w:ind w:left="113"/>
      </w:pPr>
      <w:r>
        <w:rPr>
          <w:rFonts w:ascii="游ゴシック" w:hAnsi="游ゴシック" w:eastAsia="游ゴシック"/>
          <w:b/>
          <w:i w:val="0"/>
          <w:sz w:val="17"/>
        </w:rPr>
        <w:t>※ 市町村地域福祉計画の記載事項も1つ増えます。</w:t>
      </w:r>
      <w:r>
        <w:rPr>
          <w:rFonts w:ascii="游ゴシック" w:hAnsi="游ゴシック" w:eastAsia="游ゴシック"/>
          <w:b w:val="0"/>
          <w:i w:val="0"/>
          <w:sz w:val="17"/>
        </w:rPr>
        <w:t xml:space="preserve"> 社会福祉法第107条第1項に第6号が新設され、「地域における保健医療、労働、教育、</w:t>
      </w:r>
      <w:r>
        <w:rPr>
          <w:rFonts w:ascii="游ゴシック" w:hAnsi="游ゴシック" w:eastAsia="游ゴシック"/>
          <w:b/>
          <w:i w:val="0"/>
          <w:sz w:val="17"/>
        </w:rPr>
        <w:t>住まい</w:t>
      </w:r>
      <w:r>
        <w:rPr>
          <w:rFonts w:ascii="游ゴシック" w:hAnsi="游ゴシック" w:eastAsia="游ゴシック"/>
          <w:b w:val="0"/>
          <w:i w:val="0"/>
          <w:sz w:val="17"/>
        </w:rPr>
        <w:t>、地域再生及び防災に関する施策、消費者の利益の擁護及び増進に関する施策その他の関連施策との連携に関する事項」を定めるものとされます（令和9年4月1日施行）。</w:t>
      </w:r>
      <w:r>
        <w:rPr>
          <w:rFonts w:ascii="游ゴシック" w:hAnsi="游ゴシック" w:eastAsia="游ゴシック"/>
          <w:b/>
          <w:i w:val="0"/>
          <w:sz w:val="17"/>
        </w:rPr>
        <w:t>第4期地域福祉計画の策定時に関わる事項であり、本計画の住まいの施策（第2章5）と接続します。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【表52】第4章4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【表53】第4章4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【表54】第5章基本目標1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【表56】第5章基本目標1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【表57】第5章基本目標1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【表58】第5章基本目標1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【表59】第5章基本目標1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【表61】第5章基本目標1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【表62】第5章基本目標1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【表64】第5章基本目標1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【表65】第5章基本目標2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【表68】第5章基本目標2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【表71】第5章基本目標2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【表72】第5章基本目標2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【表73】第5章基本目標2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【表74】第5章基本目標2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【表76】第5章基本目標2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【表77】第5章基本目標2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【表79】第5章基本目標2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【表80】第5章基本目標2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【表81】第5章基本目標2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【表83】第5章基本目標2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【表84】第5章基本目標2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【表85】第5章基本目標2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【表87】第5章基本目標2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【表88】第5章基本目標3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【表90】第5章基本目標3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【表91】第5章基本目標3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【表92】第5章基本目標3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【表93】第5章基本目標3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【表94】第5章基本目標3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【表95】第5章基本目標3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【表96】第5章基本目標3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【表97】第5章基本目標3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【表98】要介護認定者数の見込み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【表99】第6章2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i w:val="0"/>
                <w:sz w:val="17"/>
              </w:rPr>
              <w:t>同院は、本町と田村市・平田村・川内村・いわき市の2市1町2村で運営する病院です</w:t>
            </w:r>
            <w:r>
              <w:rPr>
                <w:rFonts w:ascii="游ゴシック" w:hAnsi="游ゴシック" w:eastAsia="游ゴシック"/>
                <w:b w:val="0"/>
                <w:i w:val="0"/>
                <w:sz w:val="17"/>
              </w:rPr>
              <w:t>（第9期計画 第4章（４）②）。県の保健医療計画は、同院を圏域内の病院として掲げています。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【表100】第6章2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【表101】第6章2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【表102】第6章3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【表103】第6章4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【表104】第6章4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【表105】第6章4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【表106】第6章4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pStyle w:val="Heading3"/>
        <w:keepNext/>
        <w:spacing w:before="180" w:after="80"/>
      </w:pPr>
      <w:r>
        <w:rPr>
          <w:rFonts w:ascii="游ゴシック" w:hAnsi="游ゴシック" w:eastAsia="游ゴシック"/>
          <w:b/>
          <w:i w:val="0"/>
          <w:color w:val="1F4D78"/>
          <w:sz w:val="22"/>
        </w:rPr>
        <w:t>（参考）特定地域居宅サービス等事業（令和9年4月1日新設）</w:t>
      </w:r>
    </w:p>
    <w:p>
      <w:pPr>
        <w:spacing w:before="60" w:after="60"/>
      </w:pPr>
      <w:r>
        <w:rPr>
          <w:rFonts w:ascii="游ゴシック" w:hAnsi="游ゴシック" w:eastAsia="游ゴシック"/>
          <w:b/>
          <w:i w:val="0"/>
          <w:sz w:val="21"/>
        </w:rPr>
        <w:t>令和9年4月1日に、地域支援事業に「特定地域居宅サービス等事業」が加わります（介護保険法第115条の45第3項。新設）。</w:t>
      </w:r>
      <w:r>
        <w:rPr>
          <w:rFonts w:ascii="游ゴシック" w:hAnsi="游ゴシック" w:eastAsia="游ゴシック"/>
          <w:b w:val="0"/>
          <w:i w:val="0"/>
          <w:sz w:val="21"/>
        </w:rPr>
        <w:t>区域内に</w:t>
      </w:r>
      <w:r>
        <w:rPr>
          <w:rFonts w:ascii="游ゴシック" w:hAnsi="游ゴシック" w:eastAsia="游ゴシック"/>
          <w:b/>
          <w:i w:val="0"/>
          <w:sz w:val="21"/>
        </w:rPr>
        <w:t>特定地域</w:t>
      </w:r>
      <w:r>
        <w:rPr>
          <w:rFonts w:ascii="游ゴシック" w:hAnsi="游ゴシック" w:eastAsia="游ゴシック"/>
          <w:b w:val="0"/>
          <w:i w:val="0"/>
          <w:sz w:val="21"/>
        </w:rPr>
        <w:t>がある市町村は、厚生労働省令で定める基準に従い、特定地域に住所を有する被保険者に対し、次の表のサービス（又はこれに相当するサービス）を</w:t>
      </w:r>
      <w:r>
        <w:rPr>
          <w:rFonts w:ascii="游ゴシック" w:hAnsi="游ゴシック" w:eastAsia="游ゴシック"/>
          <w:b/>
          <w:i w:val="0"/>
          <w:sz w:val="21"/>
        </w:rPr>
        <w:t>地域支援事業として</w:t>
      </w:r>
      <w:r>
        <w:rPr>
          <w:rFonts w:ascii="游ゴシック" w:hAnsi="游ゴシック" w:eastAsia="游ゴシック"/>
          <w:b w:val="0"/>
          <w:i w:val="0"/>
          <w:sz w:val="21"/>
        </w:rPr>
        <w:t>行うことができます。</w:t>
      </w:r>
    </w:p>
    <w:p>
      <w:pPr>
        <w:keepNext/>
        <w:spacing w:before="200" w:after="40"/>
      </w:pPr>
      <w:r>
        <w:rPr>
          <w:rFonts w:ascii="游ゴシック" w:hAnsi="游ゴシック" w:eastAsia="游ゴシック"/>
          <w:b/>
          <w:i w:val="0"/>
          <w:color w:val="1F4D78"/>
          <w:sz w:val="22"/>
        </w:rPr>
        <w:t>【表107】特定地域居宅サービス等事業の対象（介護保険法第115条の45第3項）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27"/>
        <w:gridCol w:w="4124"/>
      </w:tblGrid>
      <w:tr>
        <w:tc>
          <w:tcPr>
            <w:tcW w:type="dxa" w:w="5627"/>
            <w:shd w:val="clear" w:fill="1F3864"/>
            <w:vAlign w:val="center"/>
          </w:tcPr>
          <w:p>
            <w:pPr>
              <w:spacing w:before="20" w:after="20"/>
              <w:jc w:val="center"/>
            </w:pPr>
            <w:r>
              <w:rPr>
                <w:rFonts w:ascii="游ゴシック" w:hAnsi="游ゴシック" w:eastAsia="游ゴシック"/>
                <w:b/>
                <w:i w:val="0"/>
                <w:color w:val="FFFFFF"/>
                <w:sz w:val="17"/>
              </w:rPr>
              <w:t>対象となる被保険者</w:t>
            </w:r>
          </w:p>
        </w:tc>
        <w:tc>
          <w:tcPr>
            <w:tcW w:type="dxa" w:w="4124"/>
            <w:shd w:val="clear" w:fill="1F3864"/>
            <w:vAlign w:val="center"/>
          </w:tcPr>
          <w:p>
            <w:pPr>
              <w:spacing w:before="20" w:after="20"/>
              <w:jc w:val="center"/>
            </w:pPr>
            <w:r>
              <w:rPr>
                <w:rFonts w:ascii="游ゴシック" w:hAnsi="游ゴシック" w:eastAsia="游ゴシック"/>
                <w:b/>
                <w:i w:val="0"/>
                <w:color w:val="FFFFFF"/>
                <w:sz w:val="17"/>
              </w:rPr>
              <w:t>行うことができるサービス</w:t>
            </w:r>
          </w:p>
        </w:tc>
      </w:tr>
      <w:tr>
        <w:tc>
          <w:tcPr>
            <w:tcW w:type="dxa" w:w="5627"/>
            <w:vAlign w:val="center"/>
          </w:tcPr>
          <w:p>
            <w:pPr>
              <w:keepNext/>
              <w:spacing w:before="20" w:after="20"/>
            </w:pPr>
            <w:r>
              <w:rPr>
                <w:rFonts w:ascii="游ゴシック" w:hAnsi="游ゴシック" w:eastAsia="游ゴシック"/>
                <w:b w:val="0"/>
                <w:i w:val="0"/>
                <w:sz w:val="17"/>
              </w:rPr>
              <w:t>特定地域の区域に住所を有し、要介護認定を受けた被保険者のうち、居宅において介護を受けるもの</w:t>
            </w:r>
          </w:p>
        </w:tc>
        <w:tc>
          <w:tcPr>
            <w:tcW w:type="dxa" w:w="4124"/>
            <w:vAlign w:val="center"/>
          </w:tcPr>
          <w:p>
            <w:pPr>
              <w:keepNext/>
              <w:spacing w:before="20" w:after="20"/>
            </w:pPr>
            <w:r>
              <w:rPr>
                <w:rFonts w:ascii="游ゴシック" w:hAnsi="游ゴシック" w:eastAsia="游ゴシック"/>
                <w:b w:val="0"/>
                <w:i w:val="0"/>
                <w:sz w:val="17"/>
              </w:rPr>
              <w:t>訪問介護、訪問入浴介護、通所介護又は短期入所生活介護</w:t>
            </w:r>
          </w:p>
        </w:tc>
      </w:tr>
      <w:tr>
        <w:tc>
          <w:tcPr>
            <w:tcW w:type="dxa" w:w="5627"/>
            <w:vAlign w:val="center"/>
          </w:tcPr>
          <w:p>
            <w:pPr>
              <w:spacing w:before="20" w:after="20"/>
            </w:pPr>
            <w:r>
              <w:rPr>
                <w:rFonts w:ascii="游ゴシック" w:hAnsi="游ゴシック" w:eastAsia="游ゴシック"/>
                <w:b w:val="0"/>
                <w:i w:val="0"/>
                <w:sz w:val="17"/>
              </w:rPr>
              <w:t>特定地域の区域に住所を有し、要支援認定を受けた被保険者のうち、居宅において支援を受けるもの</w:t>
            </w:r>
          </w:p>
        </w:tc>
        <w:tc>
          <w:tcPr>
            <w:tcW w:type="dxa" w:w="4124"/>
            <w:vAlign w:val="center"/>
          </w:tcPr>
          <w:p>
            <w:pPr>
              <w:spacing w:before="20" w:after="20"/>
            </w:pPr>
            <w:r>
              <w:rPr>
                <w:rFonts w:ascii="游ゴシック" w:hAnsi="游ゴシック" w:eastAsia="游ゴシック"/>
                <w:b w:val="0"/>
                <w:i w:val="0"/>
                <w:sz w:val="17"/>
              </w:rPr>
              <w:t>介護予防訪問入浴介護又は介護予防短期入所生活介護</w:t>
            </w:r>
          </w:p>
        </w:tc>
      </w:tr>
    </w:tbl>
    <w:p>
      <w:pPr>
        <w:spacing w:after="40"/>
      </w:pPr>
    </w:p>
    <w:p>
      <w:pPr>
        <w:spacing w:before="60" w:after="60"/>
      </w:pPr>
      <w:r>
        <w:rPr>
          <w:rFonts w:ascii="游ゴシック" w:hAnsi="游ゴシック" w:eastAsia="游ゴシック"/>
          <w:b/>
          <w:i w:val="0"/>
          <w:sz w:val="21"/>
        </w:rPr>
        <w:t>特定地域とは、「人口の減少その他の厚生労働省令で定める基準に該当する地域として都道府県が定めるもの」です（介護保険法第42条第1項第3号）。</w:t>
      </w:r>
      <w:r>
        <w:rPr>
          <w:rFonts w:ascii="游ゴシック" w:hAnsi="游ゴシック" w:eastAsia="游ゴシック"/>
          <w:b w:val="0"/>
          <w:i w:val="0"/>
          <w:sz w:val="21"/>
        </w:rPr>
        <w:t>定めるのは</w:t>
      </w:r>
      <w:r>
        <w:rPr>
          <w:rFonts w:ascii="游ゴシック" w:hAnsi="游ゴシック" w:eastAsia="游ゴシック"/>
          <w:b/>
          <w:i w:val="0"/>
          <w:sz w:val="21"/>
        </w:rPr>
        <w:t>県</w:t>
      </w:r>
      <w:r>
        <w:rPr>
          <w:rFonts w:ascii="游ゴシック" w:hAnsi="游ゴシック" w:eastAsia="游ゴシック"/>
          <w:b w:val="0"/>
          <w:i w:val="0"/>
          <w:sz w:val="21"/>
        </w:rPr>
        <w:t>であり、基準は</w:t>
      </w:r>
      <w:r>
        <w:rPr>
          <w:rFonts w:ascii="游ゴシック" w:hAnsi="游ゴシック" w:eastAsia="游ゴシック"/>
          <w:b/>
          <w:i w:val="0"/>
          <w:sz w:val="21"/>
        </w:rPr>
        <w:t>厚生労働省令</w:t>
      </w:r>
      <w:r>
        <w:rPr>
          <w:rFonts w:ascii="游ゴシック" w:hAnsi="游ゴシック" w:eastAsia="游ゴシック"/>
          <w:b w:val="0"/>
          <w:i w:val="0"/>
          <w:sz w:val="21"/>
        </w:rPr>
        <w:t>で定まります。本町の区域が特定地域に定められるかどうかは【町データ待ち】であり、本計画の本文には、指定があることを前提とした記載をしていません。</w:t>
      </w:r>
    </w:p>
    <w:p>
      <w:pPr>
        <w:spacing w:before="40" w:after="160"/>
        <w:ind w:left="113"/>
      </w:pPr>
      <w:r>
        <w:rPr>
          <w:rFonts w:ascii="游ゴシック" w:hAnsi="游ゴシック" w:eastAsia="游ゴシック"/>
          <w:b/>
          <w:i w:val="0"/>
          <w:sz w:val="17"/>
        </w:rPr>
        <w:t>※ 基準を定める厚生労働省令は、令和8年10月19日現在、公布されていません。</w:t>
      </w:r>
      <w:r>
        <w:rPr>
          <w:rFonts w:ascii="游ゴシック" w:hAnsi="游ゴシック" w:eastAsia="游ゴシック"/>
          <w:b w:val="0"/>
          <w:i w:val="0"/>
          <w:sz w:val="17"/>
        </w:rPr>
        <w:t xml:space="preserve"> 介護保険法施行規則について、令和9年4月1日に効力をもつ版を法令APIで取得したところ、</w:t>
      </w:r>
      <w:r>
        <w:rPr>
          <w:rFonts w:ascii="游ゴシック" w:hAnsi="游ゴシック" w:eastAsia="游ゴシック"/>
          <w:b/>
          <w:i w:val="0"/>
          <w:sz w:val="17"/>
        </w:rPr>
        <w:t>「特定地域」の語を含む条は1つもありません</w:t>
      </w:r>
      <w:r>
        <w:rPr>
          <w:rFonts w:ascii="游ゴシック" w:hAnsi="游ゴシック" w:eastAsia="游ゴシック"/>
          <w:b w:val="0"/>
          <w:i w:val="0"/>
          <w:sz w:val="17"/>
        </w:rPr>
        <w:t>（同日現在の最新は令和8年10月1日施行の版）。介護保険法施行令も同じです。</w:t>
      </w:r>
      <w:r>
        <w:rPr>
          <w:rFonts w:ascii="游ゴシック" w:hAnsi="游ゴシック" w:eastAsia="游ゴシック"/>
          <w:b/>
          <w:i w:val="0"/>
          <w:sz w:val="17"/>
        </w:rPr>
        <w:t>したがって、本計画の策定時点では、本町が特定地域に当たるかどうかを判断する材料がありません。</w:t>
      </w:r>
    </w:p>
    <w:p>
      <w:pPr>
        <w:spacing w:before="40" w:after="160"/>
        <w:ind w:left="113"/>
      </w:pPr>
      <w:r>
        <w:rPr>
          <w:rFonts w:ascii="游ゴシック" w:hAnsi="游ゴシック" w:eastAsia="游ゴシック"/>
          <w:b/>
          <w:i w:val="0"/>
          <w:sz w:val="17"/>
        </w:rPr>
        <w:t>※ 費用の扱いが包括的支援事業・任意事業と異なります。</w:t>
      </w:r>
      <w:r>
        <w:rPr>
          <w:rFonts w:ascii="游ゴシック" w:hAnsi="游ゴシック" w:eastAsia="游ゴシック"/>
          <w:b w:val="0"/>
          <w:i w:val="0"/>
          <w:sz w:val="17"/>
        </w:rPr>
        <w:t xml:space="preserve"> 特定地域居宅サービス等事業に要する費用は、介護予防・日常生活支援総合事業と同じく</w:t>
      </w:r>
      <w:r>
        <w:rPr>
          <w:rFonts w:ascii="游ゴシック" w:hAnsi="游ゴシック" w:eastAsia="游ゴシック"/>
          <w:b/>
          <w:i w:val="0"/>
          <w:sz w:val="17"/>
        </w:rPr>
        <w:t>第2号被保険者の負担（地域支援事業支援交付金）の対象</w:t>
      </w:r>
      <w:r>
        <w:rPr>
          <w:rFonts w:ascii="游ゴシック" w:hAnsi="游ゴシック" w:eastAsia="游ゴシック"/>
          <w:b w:val="0"/>
          <w:i w:val="0"/>
          <w:sz w:val="17"/>
        </w:rPr>
        <w:t>です（介護保険法第126条第1項）。一方、国が交付する「特定地域支援事業支援額」の対象からは</w:t>
      </w:r>
      <w:r>
        <w:rPr>
          <w:rFonts w:ascii="游ゴシック" w:hAnsi="游ゴシック" w:eastAsia="游ゴシック"/>
          <w:b/>
          <w:i w:val="0"/>
          <w:sz w:val="17"/>
        </w:rPr>
        <w:t>除かれます</w:t>
      </w:r>
      <w:r>
        <w:rPr>
          <w:rFonts w:ascii="游ゴシック" w:hAnsi="游ゴシック" w:eastAsia="游ゴシック"/>
          <w:b w:val="0"/>
          <w:i w:val="0"/>
          <w:sz w:val="17"/>
        </w:rPr>
        <w:t>（同法第122条の2第4項）。</w:t>
      </w:r>
      <w:r>
        <w:rPr>
          <w:rFonts w:ascii="游ゴシック" w:hAnsi="游ゴシック" w:eastAsia="游ゴシック"/>
          <w:b/>
          <w:i w:val="0"/>
          <w:sz w:val="17"/>
        </w:rPr>
        <w:t>したがって、本町が特定地域に定められ、かつ本事業を行う場合は、地域支援事業費と保険料の算定をやり直すことになります。</w:t>
      </w:r>
      <w:r>
        <w:rPr>
          <w:rFonts w:ascii="游ゴシック" w:hAnsi="游ゴシック" w:eastAsia="游ゴシック"/>
          <w:b/>
          <w:i w:val="0"/>
          <w:sz w:val="17"/>
        </w:rPr>
        <w:t>※ 用語に紛らわしさがあります。</w:t>
      </w:r>
      <w:r>
        <w:rPr>
          <w:rFonts w:ascii="游ゴシック" w:hAnsi="游ゴシック" w:eastAsia="游ゴシック"/>
          <w:b w:val="0"/>
          <w:i w:val="0"/>
          <w:sz w:val="17"/>
        </w:rPr>
        <w:t xml:space="preserve"> 同法第122条の2第4項の「特定地域支援事業支援額」は改正前からある用語で、</w:t>
      </w:r>
      <w:r>
        <w:rPr>
          <w:rFonts w:ascii="游ゴシック" w:hAnsi="游ゴシック" w:eastAsia="游ゴシック"/>
          <w:b/>
          <w:i w:val="0"/>
          <w:sz w:val="17"/>
        </w:rPr>
        <w:t>ここでいう「特定地域」とは関係がありません。</w:t>
      </w:r>
      <w:r>
        <w:rPr>
          <w:rFonts w:ascii="游ゴシック" w:hAnsi="游ゴシック" w:eastAsia="游ゴシック"/>
          <w:b w:val="0"/>
          <w:i w:val="0"/>
          <w:sz w:val="17"/>
        </w:rPr>
        <w:t>包括的支援事業・任意事業に係る国の負担の額を指します。</w:t>
      </w:r>
    </w:p>
    <w:p>
      <w:pPr>
        <w:spacing w:before="40" w:after="160"/>
        <w:ind w:left="113"/>
      </w:pPr>
      <w:r>
        <w:rPr>
          <w:rFonts w:ascii="游ゴシック" w:hAnsi="游ゴシック" w:eastAsia="游ゴシック"/>
          <w:b w:val="0"/>
          <w:i w:val="0"/>
          <w:sz w:val="17"/>
        </w:rPr>
        <w:t>※ この新設により、</w:t>
      </w:r>
      <w:r>
        <w:rPr>
          <w:rFonts w:ascii="游ゴシック" w:hAnsi="游ゴシック" w:eastAsia="游ゴシック"/>
          <w:b/>
          <w:i w:val="0"/>
          <w:sz w:val="17"/>
        </w:rPr>
        <w:t>同条の項が1つずつ繰り下がります。</w:t>
      </w:r>
      <w:r>
        <w:rPr>
          <w:rFonts w:ascii="游ゴシック" w:hAnsi="游ゴシック" w:eastAsia="游ゴシック"/>
          <w:b w:val="0"/>
          <w:i w:val="0"/>
          <w:sz w:val="17"/>
        </w:rPr>
        <w:t xml:space="preserve"> 任意事業は第3項から</w:t>
      </w:r>
      <w:r>
        <w:rPr>
          <w:rFonts w:ascii="游ゴシック" w:hAnsi="游ゴシック" w:eastAsia="游ゴシック"/>
          <w:b/>
          <w:i w:val="0"/>
          <w:sz w:val="17"/>
        </w:rPr>
        <w:t>第4項</w:t>
      </w:r>
      <w:r>
        <w:rPr>
          <w:rFonts w:ascii="游ゴシック" w:hAnsi="游ゴシック" w:eastAsia="游ゴシック"/>
          <w:b w:val="0"/>
          <w:i w:val="0"/>
          <w:sz w:val="17"/>
        </w:rPr>
        <w:t>に、</w:t>
      </w:r>
      <w:r>
        <w:rPr>
          <w:rFonts w:ascii="游ゴシック" w:hAnsi="游ゴシック" w:eastAsia="游ゴシック"/>
          <w:b/>
          <w:i w:val="0"/>
          <w:sz w:val="17"/>
        </w:rPr>
        <w:t>地域支援事業費の上限（政令で定める額）の規定は第4項から第5項</w:t>
      </w:r>
      <w:r>
        <w:rPr>
          <w:rFonts w:ascii="游ゴシック" w:hAnsi="游ゴシック" w:eastAsia="游ゴシック"/>
          <w:b w:val="0"/>
          <w:i w:val="0"/>
          <w:sz w:val="17"/>
        </w:rPr>
        <w:t>に、利用料の請求は第10項から</w:t>
      </w:r>
      <w:r>
        <w:rPr>
          <w:rFonts w:ascii="游ゴシック" w:hAnsi="游ゴシック" w:eastAsia="游ゴシック"/>
          <w:b/>
          <w:i w:val="0"/>
          <w:sz w:val="17"/>
        </w:rPr>
        <w:t>第11項</w:t>
      </w:r>
      <w:r>
        <w:rPr>
          <w:rFonts w:ascii="游ゴシック" w:hAnsi="游ゴシック" w:eastAsia="游ゴシック"/>
          <w:b w:val="0"/>
          <w:i w:val="0"/>
          <w:sz w:val="17"/>
        </w:rPr>
        <w:t>になります（全10項→全11項）。本計画で任意事業の根拠を引くときは、令和9年4月1日以後は第115条の45第4項となります。</w:t>
      </w:r>
      <w:r>
        <w:rPr>
          <w:rFonts w:ascii="游ゴシック" w:hAnsi="游ゴシック" w:eastAsia="游ゴシック"/>
          <w:b/>
          <w:i w:val="0"/>
          <w:sz w:val="17"/>
        </w:rPr>
        <w:t>なお、上限の額を定める介護保険法施行令第37条の13は、令和8年10月19日現在なお「法第115条の45第4項の政令で定める額」と書いており、改正に追従していません。</w:t>
      </w:r>
      <w:r>
        <w:rPr>
          <w:rFonts w:ascii="游ゴシック" w:hAnsi="游ゴシック" w:eastAsia="游ゴシック"/>
          <w:b w:val="0"/>
          <w:i w:val="0"/>
          <w:sz w:val="17"/>
        </w:rPr>
        <w:t xml:space="preserve"> 法律の改正に政令・省令が追いついていない段階です。</w:t>
      </w:r>
    </w:p>
    <w:p>
      <w:pPr>
        <w:spacing w:before="40" w:after="160"/>
        <w:ind w:left="113"/>
      </w:pPr>
      <w:r>
        <w:rPr>
          <w:rFonts w:ascii="游ゴシック" w:hAnsi="游ゴシック" w:eastAsia="游ゴシック"/>
          <w:b w:val="0"/>
          <w:i w:val="0"/>
          <w:sz w:val="17"/>
        </w:rPr>
        <w:t>出所：介護保険法（平成9年法律第123号）令和9年4月1日時点。e-Gov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【表108】第6章5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【表109】第6章5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【表110】第6章5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【表111】第6章6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【表112】第6章7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【表113】第6章7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標準乗率は介護保険法施行令第38条第1項が13段階について定めており、本計画が用いた13件すべてが同項と一致することを確かめています</w:t>
      </w:r>
      <w:r>
        <w:rPr>
          <w:rFonts w:ascii="游ゴシック" w:hAnsi="游ゴシック" w:eastAsia="游ゴシック"/>
          <w:b w:val="0"/>
          <w:i w:val="0"/>
          <w:sz w:val="21"/>
        </w:rPr>
        <w:t>（令和8年10月19日、e-Gov 法令APIにより確認。同項は令和9年4月1日時点でも改正されません）。</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【表114】第6章8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【表115】地域密着型サービスの必要利用定員総数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としています。本計画は市町村老人福祉計画と一体のものとして策定するものであり（介護保険法第117条第7項・改正後第8項）（第1章2）、本節がこれに当たります。</w:t>
      </w:r>
    </w:p>
    <w:p>
      <w:pPr>
        <w:spacing w:before="40" w:after="160"/>
        <w:ind w:left="113"/>
      </w:pPr>
      <w:r>
        <w:rPr>
          <w:rFonts w:ascii="游ゴシック" w:hAnsi="游ゴシック" w:eastAsia="游ゴシック"/>
          <w:b w:val="0"/>
          <w:i w:val="0"/>
          <w:sz w:val="17"/>
        </w:rPr>
        <w:t>※ 老人福祉法第20条の8のうち、量の目標を定める第2項は改正されません。ただし</w:t>
      </w:r>
      <w:r>
        <w:rPr>
          <w:rFonts w:ascii="游ゴシック" w:hAnsi="游ゴシック" w:eastAsia="游ゴシック"/>
          <w:b/>
          <w:i w:val="0"/>
          <w:sz w:val="17"/>
        </w:rPr>
        <w:t>第3項に第3号が新設されます</w:t>
      </w:r>
      <w:r>
        <w:rPr>
          <w:rFonts w:ascii="游ゴシック" w:hAnsi="游ゴシック" w:eastAsia="游ゴシック"/>
          <w:b w:val="0"/>
          <w:i w:val="0"/>
          <w:sz w:val="17"/>
        </w:rPr>
        <w:t>（下記）。令和9年4月1日施行。e-Gov 法令API（デジタル庁）により令和8年10月19日に確認。</w:t>
      </w:r>
    </w:p>
    <w:p>
      <w:pPr>
        <w:spacing w:before="40" w:after="160"/>
        <w:ind w:left="113"/>
      </w:pPr>
      <w:r>
        <w:rPr>
          <w:rFonts w:ascii="游ゴシック" w:hAnsi="游ゴシック" w:eastAsia="游ゴシック"/>
          <w:b/>
          <w:i w:val="0"/>
          <w:sz w:val="17"/>
        </w:rPr>
        <w:t>※ 第3項第3号（新設・努力義務）。</w:t>
      </w:r>
      <w:r>
        <w:rPr>
          <w:rFonts w:ascii="游ゴシック" w:hAnsi="游ゴシック" w:eastAsia="游ゴシック"/>
          <w:b w:val="0"/>
          <w:i w:val="0"/>
          <w:sz w:val="17"/>
        </w:rPr>
        <w:t xml:space="preserve"> 令和9年4月1日から、市町村老人福祉計画には第2項の目標のほか、</w:t>
      </w:r>
      <w:r>
        <w:rPr>
          <w:rFonts w:ascii="游ゴシック" w:hAnsi="游ゴシック" w:eastAsia="游ゴシック"/>
          <w:b/>
          <w:i w:val="0"/>
          <w:sz w:val="17"/>
        </w:rPr>
        <w:t>「老人福祉事業その他の老人の生活に直接影響を及ぼす事業を営む者と社会福祉法第4条第3項に規定する支援関係機関との連携に関する事項」</w:t>
      </w:r>
      <w:r>
        <w:rPr>
          <w:rFonts w:ascii="游ゴシック" w:hAnsi="游ゴシック" w:eastAsia="游ゴシック"/>
          <w:b w:val="0"/>
          <w:i w:val="0"/>
          <w:sz w:val="17"/>
        </w:rPr>
        <w:t>を定めるよう努めるものとされます（社会福祉法等の一部を改正する法律（令和8年法律第51号））。支援関係機関とは、地域生活課題の解決に資する支援を行う関係機関をいいます（社会福祉法第4条第3項）。</w:t>
      </w:r>
      <w:r>
        <w:rPr>
          <w:rFonts w:ascii="游ゴシック" w:hAnsi="游ゴシック" w:eastAsia="游ゴシック"/>
          <w:b/>
          <w:i w:val="0"/>
          <w:sz w:val="17"/>
        </w:rPr>
        <w:t>本計画では、第5章 基本目標2 及び第4章4（障がい福祉計画との接点）に掲げる関係機関との連携が、これに当たります。</w:t>
      </w:r>
      <w:r>
        <w:rPr>
          <w:rFonts w:ascii="游ゴシック" w:hAnsi="游ゴシック" w:eastAsia="游ゴシック"/>
          <w:b w:val="0"/>
          <w:i w:val="0"/>
          <w:sz w:val="17"/>
        </w:rPr>
        <w:t xml:space="preserve"> 老人福祉事業を営む者には、介護保険の指定を受けていない事業者（養護老人ホーム、軽費老人ホーム等）も含まれます。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【表116】第6章9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【表117】第6章9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spacing w:before="40" w:after="160"/>
        <w:ind w:left="113"/>
      </w:pPr>
      <w:r>
        <w:rPr>
          <w:rFonts w:ascii="游ゴシック" w:hAnsi="游ゴシック" w:eastAsia="游ゴシック"/>
          <w:b/>
          <w:i w:val="0"/>
          <w:sz w:val="17"/>
        </w:rPr>
        <w:t>※ 本町は既に措置入所を施策として掲げています。</w:t>
      </w:r>
      <w:r>
        <w:rPr>
          <w:rFonts w:ascii="游ゴシック" w:hAnsi="游ゴシック" w:eastAsia="游ゴシック"/>
          <w:b w:val="0"/>
          <w:i w:val="0"/>
          <w:sz w:val="17"/>
        </w:rPr>
        <w:t xml:space="preserve"> 第9期計画 第4章（１）② は「老人ホームなどへの入所措置」として、</w:t>
      </w:r>
      <w:r>
        <w:rPr>
          <w:rFonts w:ascii="游ゴシック" w:hAnsi="游ゴシック" w:eastAsia="游ゴシック"/>
          <w:b/>
          <w:i w:val="0"/>
          <w:sz w:val="17"/>
        </w:rPr>
        <w:t>「身体上、精神上又は環境上の理由及び経済的理由により在宅での生活が極めて困難で、高齢者の福祉に欠けると認められる高齢者を老人ホームに入所させます」</w:t>
      </w:r>
      <w:r>
        <w:rPr>
          <w:rFonts w:ascii="游ゴシック" w:hAnsi="游ゴシック" w:eastAsia="游ゴシック"/>
          <w:b w:val="0"/>
          <w:i w:val="0"/>
          <w:sz w:val="17"/>
        </w:rPr>
        <w:t>としています。</w:t>
      </w:r>
      <w:r>
        <w:rPr>
          <w:rFonts w:ascii="游ゴシック" w:hAnsi="游ゴシック" w:eastAsia="游ゴシック"/>
          <w:b/>
          <w:i w:val="0"/>
          <w:sz w:val="17"/>
        </w:rPr>
        <w:t>本節は、この施策に量の目標を付けるものです。</w:t>
      </w:r>
      <w:r>
        <w:rPr>
          <w:rFonts w:ascii="游ゴシック" w:hAnsi="游ゴシック" w:eastAsia="游ゴシック"/>
          <w:b w:val="0"/>
          <w:i w:val="0"/>
          <w:sz w:val="17"/>
        </w:rPr>
        <w:t>第10期で新たに始める事業ではありません。</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【表118】第6章10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【表119】第6章11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【表120】第6章11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【表121】第6章11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【表122】第6章12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【表123】資料編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【表124】資料編8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【表125】資料編9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【表126】資料編10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【表127】資料編11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図表番号一覧</w:t>
      </w:r>
      <w:bookmarkEnd w:id="152"/>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第4章3　関連計画との役割分担（3）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特定地域居宅サービス等事業の対象（介護保険法第115条の45第3項）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【表126】</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【表127】</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3" w:name="_Toc_053"/>
      <w:r>
        <w:rPr>
          <w:rFonts w:ascii="游ゴシック" w:hAnsi="游ゴシック" w:eastAsia="游ゴシック"/>
          <w:b/>
          <w:i w:val="0"/>
          <w:color w:val="2E74B5"/>
          <w:sz w:val="30"/>
        </w:rPr>
        <w:t>参考　本素案の確定に必要な事項</w:t>
      </w:r>
      <w:bookmarkEnd w:id="153"/>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