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第3版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令和8年10月15日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keepNext/>
              <w:spacing w:before="20" w:after="20"/>
            </w:pPr>
            <w:r>
              <w:rPr>
                <w:rFonts w:ascii="游ゴシック" w:hAnsi="游ゴシック" w:eastAsia="游ゴシック"/>
                <w:b w:val="0"/>
                <w:i w:val="0"/>
                <w:sz w:val="17"/>
              </w:rPr>
              <w:t>5　策定体制</w:t>
            </w:r>
          </w:p>
        </w:tc>
        <w:tc>
          <w:tcPr>
            <w:tcW w:type="dxa" w:w="7361"/>
            <w:vAlign w:val="center"/>
          </w:tcPr>
          <w:p>
            <w:pPr>
              <w:keepNext/>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7"/>
        <w:gridCol w:w="1620"/>
        <w:gridCol w:w="5454"/>
      </w:tblGrid>
      <w:tr>
        <w:tc>
          <w:tcPr>
            <w:tcW w:type="dxa" w:w="2677"/>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20"/>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5454"/>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77"/>
            <w:vAlign w:val="center"/>
          </w:tcPr>
          <w:p>
            <w:pPr>
              <w:spacing w:before="20" w:after="20"/>
            </w:pPr>
            <w:r>
              <w:rPr>
                <w:rFonts w:ascii="游ゴシック" w:hAnsi="游ゴシック" w:eastAsia="游ゴシック"/>
                <w:b w:val="0"/>
                <w:i w:val="0"/>
                <w:sz w:val="17"/>
              </w:rPr>
              <w:t>小野町第3期地域福祉計画（令和8〜12年度）</w:t>
            </w:r>
          </w:p>
        </w:tc>
        <w:tc>
          <w:tcPr>
            <w:tcW w:type="dxa" w:w="1620"/>
            <w:vAlign w:val="center"/>
          </w:tcPr>
          <w:p>
            <w:pPr>
              <w:spacing w:before="20" w:after="20"/>
            </w:pPr>
            <w:r>
              <w:rPr>
                <w:rFonts w:ascii="游ゴシック" w:hAnsi="游ゴシック" w:eastAsia="游ゴシック"/>
                <w:b w:val="0"/>
                <w:i w:val="0"/>
                <w:sz w:val="17"/>
              </w:rPr>
              <w:t>上位計画</w:t>
            </w:r>
          </w:p>
        </w:tc>
        <w:tc>
          <w:tcPr>
            <w:tcW w:type="dxa" w:w="5454"/>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2677"/>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620"/>
            <w:vAlign w:val="center"/>
          </w:tcPr>
          <w:p>
            <w:pPr>
              <w:spacing w:before="20" w:after="20"/>
            </w:pPr>
            <w:r>
              <w:rPr>
                <w:rFonts w:ascii="游ゴシック" w:hAnsi="游ゴシック" w:eastAsia="游ゴシック"/>
                <w:b w:val="0"/>
                <w:i w:val="0"/>
                <w:sz w:val="17"/>
              </w:rPr>
              <w:t>関連計画（同時策定）</w:t>
            </w:r>
          </w:p>
        </w:tc>
        <w:tc>
          <w:tcPr>
            <w:tcW w:type="dxa" w:w="5454"/>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2677"/>
            <w:vAlign w:val="center"/>
          </w:tcPr>
          <w:p>
            <w:pPr>
              <w:spacing w:before="20" w:after="20"/>
            </w:pPr>
            <w:r>
              <w:rPr>
                <w:rFonts w:ascii="游ゴシック" w:hAnsi="游ゴシック" w:eastAsia="游ゴシック"/>
                <w:b w:val="0"/>
                <w:i w:val="0"/>
                <w:sz w:val="17"/>
              </w:rPr>
              <w:t>小野町こども計画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77"/>
            <w:vAlign w:val="center"/>
          </w:tcPr>
          <w:p>
            <w:pPr>
              <w:spacing w:before="20" w:after="20"/>
            </w:pPr>
            <w:r>
              <w:rPr>
                <w:rFonts w:ascii="游ゴシック" w:hAnsi="游ゴシック" w:eastAsia="游ゴシック"/>
                <w:b w:val="0"/>
                <w:i w:val="0"/>
                <w:sz w:val="17"/>
              </w:rPr>
              <w:t>小野町総合計画・地域公共交通計画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2677"/>
            <w:vAlign w:val="center"/>
          </w:tcPr>
          <w:p>
            <w:pPr>
              <w:spacing w:before="20" w:after="20"/>
            </w:pPr>
            <w:r>
              <w:rPr>
                <w:rFonts w:ascii="游ゴシック" w:hAnsi="游ゴシック" w:eastAsia="游ゴシック"/>
                <w:b w:val="0"/>
                <w:i w:val="0"/>
                <w:sz w:val="17"/>
              </w:rPr>
              <w:t>小野町地域防災計画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医療的ケア児支援法の改正により、医療的ケア児等支援センターの業務に個別避難計画の作成への協力が加わる（令和9年4月1日施行）</w:t>
            </w:r>
          </w:p>
        </w:tc>
      </w:tr>
      <w:tr>
        <w:tc>
          <w:tcPr>
            <w:tcW w:type="dxa" w:w="2677"/>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r>
        <w:tc>
          <w:tcPr>
            <w:tcW w:type="dxa" w:w="2677"/>
            <w:vAlign w:val="center"/>
          </w:tcPr>
          <w:p>
            <w:pPr>
              <w:spacing w:before="20" w:after="20"/>
            </w:pPr>
            <w:r>
              <w:rPr>
                <w:rFonts w:ascii="游ゴシック" w:hAnsi="游ゴシック" w:eastAsia="游ゴシック"/>
                <w:b/>
                <w:i w:val="0"/>
                <w:sz w:val="17"/>
              </w:rPr>
              <w:t>福島県保健医療計画（第八次）</w:t>
            </w:r>
          </w:p>
        </w:tc>
        <w:tc>
          <w:tcPr>
            <w:tcW w:type="dxa" w:w="1620"/>
            <w:vAlign w:val="center"/>
          </w:tcPr>
          <w:p>
            <w:pPr>
              <w:spacing w:before="20" w:after="20"/>
            </w:pPr>
            <w:r>
              <w:rPr>
                <w:rFonts w:ascii="游ゴシック" w:hAnsi="游ゴシック" w:eastAsia="游ゴシック"/>
                <w:b/>
                <w:i w:val="0"/>
                <w:sz w:val="17"/>
              </w:rPr>
              <w:t>県計画</w:t>
            </w:r>
          </w:p>
        </w:tc>
        <w:tc>
          <w:tcPr>
            <w:tcW w:type="dxa" w:w="5454"/>
            <w:vAlign w:val="center"/>
          </w:tcPr>
          <w:p>
            <w:pPr>
              <w:spacing w:before="20" w:after="20"/>
            </w:pPr>
            <w:r>
              <w:rPr>
                <w:rFonts w:ascii="游ゴシック" w:hAnsi="游ゴシック" w:eastAsia="游ゴシック"/>
                <w:b/>
                <w:i w:val="0"/>
                <w:sz w:val="17"/>
              </w:rPr>
              <w:t>令和6〜11年度で本計画期間を包含する。</w:t>
            </w:r>
            <w:r>
              <w:rPr>
                <w:rFonts w:ascii="游ゴシック" w:hAnsi="游ゴシック" w:eastAsia="游ゴシック"/>
                <w:b w:val="0"/>
                <w:i w:val="0"/>
                <w:sz w:val="17"/>
              </w:rPr>
              <w:t>第8章第5節（</w:t>
            </w:r>
            <w:r>
              <w:rPr>
                <w:rFonts w:ascii="游ゴシック" w:hAnsi="游ゴシック" w:eastAsia="游ゴシック"/>
                <w:b/>
                <w:i w:val="0"/>
                <w:sz w:val="17"/>
              </w:rPr>
              <w:t>精神障害にも対応した地域包括ケアシステム</w:t>
            </w:r>
            <w:r>
              <w:rPr>
                <w:rFonts w:ascii="游ゴシック" w:hAnsi="游ゴシック" w:eastAsia="游ゴシック"/>
                <w:b w:val="0"/>
                <w:i w:val="0"/>
                <w:sz w:val="17"/>
              </w:rPr>
              <w:t>）、第8章第11節（</w:t>
            </w:r>
            <w:r>
              <w:rPr>
                <w:rFonts w:ascii="游ゴシック" w:hAnsi="游ゴシック" w:eastAsia="游ゴシック"/>
                <w:b/>
                <w:i w:val="0"/>
                <w:sz w:val="17"/>
              </w:rPr>
              <w:t>医療的ケア児への支援充実</w:t>
            </w:r>
            <w:r>
              <w:rPr>
                <w:rFonts w:ascii="游ゴシック" w:hAnsi="游ゴシック" w:eastAsia="游ゴシック"/>
                <w:b w:val="0"/>
                <w:i w:val="0"/>
                <w:sz w:val="17"/>
              </w:rPr>
              <w:t>。福島県医療的ケア児支援センターが市町村へのコーディネーター配置促進に努める）、第9章第3節（難病対策）、第8章第9節（過疎・中山間地域の医療）。</w:t>
            </w:r>
            <w:r>
              <w:rPr>
                <w:rFonts w:ascii="游ゴシック" w:hAnsi="游ゴシック" w:eastAsia="游ゴシック"/>
                <w:b/>
                <w:i w:val="0"/>
                <w:sz w:val="17"/>
              </w:rPr>
              <w:t>本町は県中医療圏（3市9町村）に属する</w:t>
            </w:r>
          </w:p>
        </w:tc>
      </w:tr>
      <w:tr>
        <w:tc>
          <w:tcPr>
            <w:tcW w:type="dxa" w:w="2677"/>
            <w:vAlign w:val="center"/>
          </w:tcPr>
          <w:p>
            <w:pPr>
              <w:keepNext/>
              <w:spacing w:before="20" w:after="20"/>
            </w:pPr>
            <w:r>
              <w:rPr>
                <w:rFonts w:ascii="游ゴシック" w:hAnsi="游ゴシック" w:eastAsia="游ゴシック"/>
                <w:b w:val="0"/>
                <w:i w:val="0"/>
                <w:sz w:val="17"/>
              </w:rPr>
              <w:t>福島県賃貸住宅供給促進計画・福島県住生活基本計画</w:t>
            </w:r>
          </w:p>
        </w:tc>
        <w:tc>
          <w:tcPr>
            <w:tcW w:type="dxa" w:w="1620"/>
            <w:vAlign w:val="center"/>
          </w:tcPr>
          <w:p>
            <w:pPr>
              <w:keepNext/>
              <w:spacing w:before="20" w:after="20"/>
            </w:pPr>
            <w:r>
              <w:rPr>
                <w:rFonts w:ascii="游ゴシック" w:hAnsi="游ゴシック" w:eastAsia="游ゴシック"/>
                <w:b w:val="0"/>
                <w:i w:val="0"/>
                <w:sz w:val="17"/>
              </w:rPr>
              <w:t>県計画</w:t>
            </w:r>
          </w:p>
        </w:tc>
        <w:tc>
          <w:tcPr>
            <w:tcW w:type="dxa" w:w="5454"/>
            <w:vAlign w:val="center"/>
          </w:tcPr>
          <w:p>
            <w:pPr>
              <w:keepNext/>
              <w:spacing w:before="20" w:after="20"/>
            </w:pPr>
            <w:r>
              <w:rPr>
                <w:rFonts w:ascii="游ゴシック" w:hAnsi="游ゴシック" w:eastAsia="游ゴシック"/>
                <w:b/>
                <w:i w:val="0"/>
                <w:sz w:val="17"/>
              </w:rPr>
              <w:t>住宅確保要配慮者には障がいのある方が含まれる。</w:t>
            </w:r>
            <w:r>
              <w:rPr>
                <w:rFonts w:ascii="游ゴシック" w:hAnsi="游ゴシック" w:eastAsia="游ゴシック"/>
                <w:b w:val="0"/>
                <w:i w:val="0"/>
                <w:sz w:val="17"/>
              </w:rPr>
              <w:t>グループホームからの地域移行、単身生活への移行の受け皿</w:t>
            </w:r>
          </w:p>
        </w:tc>
      </w:tr>
      <w:tr>
        <w:tc>
          <w:tcPr>
            <w:tcW w:type="dxa" w:w="2677"/>
            <w:vAlign w:val="center"/>
          </w:tcPr>
          <w:p>
            <w:pPr>
              <w:spacing w:before="20" w:after="20"/>
            </w:pPr>
            <w:r>
              <w:rPr>
                <w:rFonts w:ascii="游ゴシック" w:hAnsi="游ゴシック" w:eastAsia="游ゴシック"/>
                <w:b w:val="0"/>
                <w:i w:val="0"/>
                <w:sz w:val="17"/>
              </w:rPr>
              <w:t>福島県地域福祉支援計画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町の地域福祉計画の上位。重層的支援体制整備事業</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障害者総合支援法は、市町村障害福祉計画が</w:t>
      </w:r>
      <w:r>
        <w:rPr>
          <w:rFonts w:ascii="游ゴシック" w:hAnsi="游ゴシック" w:eastAsia="游ゴシック"/>
          <w:b/>
          <w:i w:val="0"/>
          <w:sz w:val="17"/>
        </w:rPr>
        <w:t>市町村障害者計画・市町村地域福祉計画その他の法律の規定による計画であって障害者等の福祉に関する事項を定めるものと調和</w:t>
      </w:r>
      <w:r>
        <w:rPr>
          <w:rFonts w:ascii="游ゴシック" w:hAnsi="游ゴシック" w:eastAsia="游ゴシック"/>
          <w:b w:val="0"/>
          <w:i w:val="0"/>
          <w:sz w:val="17"/>
        </w:rPr>
        <w:t>が保たれたものでなければならないとしています（児童福祉法にも同様の規定があります）。</w:t>
      </w:r>
      <w:r>
        <w:rPr>
          <w:rFonts w:ascii="游ゴシック" w:hAnsi="游ゴシック" w:eastAsia="游ゴシック"/>
          <w:b/>
          <w:i w:val="0"/>
          <w:sz w:val="17"/>
        </w:rPr>
        <w:t>条項の番号は原典で確かめたうえで記載します。</w:t>
      </w:r>
      <w:r>
        <w:rPr>
          <w:rFonts w:ascii="游ゴシック" w:hAnsi="游ゴシック" w:eastAsia="游ゴシック"/>
          <w:b w:val="0"/>
          <w:i w:val="0"/>
          <w:sz w:val="17"/>
        </w:rPr>
        <w:t>※ 高齢者計画の素案 第1章3でも同じ整理をしており、両計画で相手方と書き方をそろえています。</w:t>
      </w:r>
    </w:p>
    <w:p>
      <w:pPr>
        <w:spacing w:before="40" w:after="160"/>
        <w:ind w:left="113"/>
      </w:pPr>
      <w:r>
        <w:rPr>
          <w:rFonts w:ascii="游ゴシック" w:hAnsi="游ゴシック" w:eastAsia="游ゴシック"/>
          <w:b w:val="0"/>
          <w:i w:val="0"/>
          <w:sz w:val="17"/>
        </w:rPr>
        <w:t>資料：福島県保健医療計画（第八次・令和6年度〜令和11年度）。原本は 13_関連計画/原本_県計画/福島県保健医療計画_第八次/ に章ごとに置いています。</w:t>
      </w:r>
    </w:p>
    <w:p>
      <w:pPr>
        <w:pStyle w:val="Heading3"/>
        <w:keepNext/>
        <w:spacing w:before="180" w:after="80"/>
      </w:pPr>
      <w:r>
        <w:rPr>
          <w:rFonts w:ascii="游ゴシック" w:hAnsi="游ゴシック" w:eastAsia="游ゴシック"/>
          <w:b/>
          <w:i w:val="0"/>
          <w:color w:val="1F4D78"/>
          <w:sz w:val="22"/>
        </w:rPr>
        <w:t>4-1　高齢者福祉計画・介護保険事業計画との接点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いずれも【データ待ち】です。</w:t>
      </w:r>
      <w:r>
        <w:rPr>
          <w:rFonts w:ascii="游ゴシック" w:hAnsi="游ゴシック" w:eastAsia="游ゴシック"/>
          <w:b/>
          <w:i w:val="0"/>
          <w:sz w:val="21"/>
        </w:rPr>
        <w:t>2の一覧が得られれば、2・4・7・9がまとめて片付きます。</w:t>
      </w:r>
    </w:p>
    <w:p>
      <w:pPr>
        <w:pStyle w:val="Heading3"/>
        <w:keepNext/>
        <w:spacing w:before="180" w:after="80"/>
      </w:pPr>
      <w:r>
        <w:rPr>
          <w:rFonts w:ascii="游ゴシック" w:hAnsi="游ゴシック" w:eastAsia="游ゴシック"/>
          <w:b/>
          <w:i w:val="0"/>
          <w:color w:val="1F4D78"/>
          <w:sz w:val="22"/>
        </w:rPr>
        <w:t>4-2　令和8年の法改正により加わる記載事項</w:t>
      </w:r>
    </w:p>
    <w:p>
      <w:pPr>
        <w:spacing w:before="60" w:after="60"/>
      </w:pPr>
      <w:r>
        <w:rPr>
          <w:rFonts w:ascii="游ゴシック" w:hAnsi="游ゴシック" w:eastAsia="游ゴシック"/>
          <w:b/>
          <w:i w:val="0"/>
          <w:sz w:val="21"/>
        </w:rPr>
        <w:t>社会福祉法等の一部を改正する法律（令和8年法律第51号）により、市町村障害福祉計画・市町村障害児福祉計画の記載事項が増えます。</w:t>
      </w:r>
      <w:r>
        <w:rPr>
          <w:rFonts w:ascii="游ゴシック" w:hAnsi="游ゴシック" w:eastAsia="游ゴシック"/>
          <w:b w:val="0"/>
          <w:i w:val="0"/>
          <w:sz w:val="21"/>
        </w:rPr>
        <w:t xml:space="preserve"> 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i w:val="0"/>
          <w:sz w:val="21"/>
        </w:rPr>
        <w:t>介護保険法第117条第3項に置かれたものと同じ構えです。</w:t>
      </w:r>
      <w:r>
        <w:rPr>
          <w:rFonts w:ascii="游ゴシック" w:hAnsi="游ゴシック" w:eastAsia="游ゴシック"/>
          <w:b w:val="0"/>
          <w:i w:val="0"/>
          <w:sz w:val="21"/>
        </w:rPr>
        <w:t>同時に策定している高齢者計画と、同じ考え方で書きます。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628"/>
        <w:gridCol w:w="1134"/>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第88条第3項第3号</w:t>
            </w:r>
          </w:p>
        </w:tc>
        <w:tc>
          <w:tcPr>
            <w:tcW w:type="dxa" w:w="3628"/>
            <w:vAlign w:val="center"/>
          </w:tcPr>
          <w:p>
            <w:pPr>
              <w:spacing w:before="20" w:after="20"/>
            </w:pPr>
            <w:r>
              <w:rPr>
                <w:rFonts w:ascii="游ゴシック" w:hAnsi="游ゴシック" w:eastAsia="游ゴシック"/>
                <w:b w:val="0"/>
                <w:i w:val="0"/>
                <w:sz w:val="17"/>
              </w:rPr>
              <w:t>障害福祉サービス又は相談支援の提供における業務の効率化、質の向上その他の</w:t>
            </w:r>
            <w:r>
              <w:rPr>
                <w:rFonts w:ascii="游ゴシック" w:hAnsi="游ゴシック" w:eastAsia="游ゴシック"/>
                <w:b/>
                <w:i w:val="0"/>
                <w:sz w:val="17"/>
              </w:rPr>
              <w:t>生産性の向上</w:t>
            </w:r>
            <w:r>
              <w:rPr>
                <w:rFonts w:ascii="游ゴシック" w:hAnsi="游ゴシック" w:eastAsia="游ゴシック"/>
                <w:b w:val="0"/>
                <w:i w:val="0"/>
                <w:sz w:val="17"/>
              </w:rPr>
              <w:t>、その業務に</w:t>
            </w:r>
            <w:r>
              <w:rPr>
                <w:rFonts w:ascii="游ゴシック" w:hAnsi="游ゴシック" w:eastAsia="游ゴシック"/>
                <w:b/>
                <w:i w:val="0"/>
                <w:sz w:val="17"/>
              </w:rPr>
              <w:t>従事する者の確保</w:t>
            </w:r>
            <w:r>
              <w:rPr>
                <w:rFonts w:ascii="游ゴシック" w:hAnsi="游ゴシック" w:eastAsia="游ゴシック"/>
                <w:b w:val="0"/>
                <w:i w:val="0"/>
                <w:sz w:val="17"/>
              </w:rPr>
              <w:t>及び資質の向上、</w:t>
            </w:r>
            <w:r>
              <w:rPr>
                <w:rFonts w:ascii="游ゴシック" w:hAnsi="游ゴシック" w:eastAsia="游ゴシック"/>
                <w:b/>
                <w:i w:val="0"/>
                <w:sz w:val="17"/>
              </w:rPr>
              <w:t>安定した経営基盤の確立</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r>
              <w:rPr>
                <w:rFonts w:ascii="游ゴシック" w:hAnsi="游ゴシック" w:eastAsia="游ゴシック"/>
                <w:b w:val="0"/>
                <w:i w:val="0"/>
                <w:sz w:val="17"/>
              </w:rPr>
              <w:t>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町単独の取組ではなく、県との連携を軸に書く</w:t>
            </w:r>
          </w:p>
        </w:tc>
      </w:tr>
      <w:tr>
        <w:tc>
          <w:tcPr>
            <w:tcW w:type="dxa" w:w="1928"/>
            <w:vAlign w:val="center"/>
          </w:tcPr>
          <w:p>
            <w:pPr>
              <w:spacing w:before="20" w:after="20"/>
            </w:pPr>
            <w:r>
              <w:rPr>
                <w:rFonts w:ascii="游ゴシック" w:hAnsi="游ゴシック" w:eastAsia="游ゴシック"/>
                <w:b/>
                <w:i w:val="0"/>
                <w:sz w:val="17"/>
              </w:rPr>
              <w:t>同第88条第3項第4号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同第88条第3項第5号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における業務の効率化、質の向上その他の生産性の向上に資する都道府県と連携した取組に関する事項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第33条の20第3項第3号</w:t>
            </w:r>
          </w:p>
        </w:tc>
        <w:tc>
          <w:tcPr>
            <w:tcW w:type="dxa" w:w="3628"/>
            <w:vAlign w:val="center"/>
          </w:tcPr>
          <w:p>
            <w:pPr>
              <w:spacing w:before="20" w:after="20"/>
            </w:pPr>
            <w:r>
              <w:rPr>
                <w:rFonts w:ascii="游ゴシック" w:hAnsi="游ゴシック" w:eastAsia="游ゴシック"/>
                <w:b w:val="0"/>
                <w:i w:val="0"/>
                <w:sz w:val="17"/>
              </w:rPr>
              <w:t>障害児通所支援及び障害児相談支援の提供における業務の効率化、質の向上その他の生産性の向上、その業務に従事する者の確保及び資質の向上、安定した経営基盤の確立の双方の実現を図る取組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障害児側には地域生活支援事業に当たる号がない。</w:t>
            </w:r>
            <w:r>
              <w:rPr>
                <w:rFonts w:ascii="游ゴシック" w:hAnsi="游ゴシック" w:eastAsia="游ゴシック"/>
                <w:b w:val="0"/>
                <w:i w:val="0"/>
                <w:sz w:val="17"/>
              </w:rPr>
              <w:t>障がい福祉計画と号の数が違うため、まとめて1つにしない</w:t>
            </w:r>
          </w:p>
        </w:tc>
      </w:tr>
      <w:tr>
        <w:tc>
          <w:tcPr>
            <w:tcW w:type="dxa" w:w="1928"/>
            <w:vAlign w:val="center"/>
          </w:tcPr>
          <w:p>
            <w:pPr>
              <w:keepNext/>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第88条第9項</w:t>
            </w:r>
            <w:r>
              <w:rPr>
                <w:rFonts w:ascii="游ゴシック" w:hAnsi="游ゴシック" w:eastAsia="游ゴシック"/>
                <w:b w:val="0"/>
                <w:i w:val="0"/>
                <w:sz w:val="17"/>
              </w:rPr>
              <w:br/>
            </w: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第33条の20第9項</w:t>
            </w:r>
          </w:p>
        </w:tc>
        <w:tc>
          <w:tcPr>
            <w:tcW w:type="dxa" w:w="3628"/>
            <w:vAlign w:val="center"/>
          </w:tcPr>
          <w:p>
            <w:pPr>
              <w:keepNext/>
              <w:spacing w:before="20" w:after="20"/>
            </w:pPr>
            <w:r>
              <w:rPr>
                <w:rFonts w:ascii="游ゴシック" w:hAnsi="游ゴシック" w:eastAsia="游ゴシック"/>
                <w:b w:val="0"/>
                <w:i w:val="0"/>
                <w:sz w:val="17"/>
              </w:rPr>
              <w:t>「協議会」を「</w:t>
            </w:r>
            <w:r>
              <w:rPr>
                <w:rFonts w:ascii="游ゴシック" w:hAnsi="游ゴシック" w:eastAsia="游ゴシック"/>
                <w:b/>
                <w:i w:val="0"/>
                <w:sz w:val="17"/>
              </w:rPr>
              <w:t>支援協議会</w:t>
            </w:r>
            <w:r>
              <w:rPr>
                <w:rFonts w:ascii="游ゴシック" w:hAnsi="游ゴシック" w:eastAsia="游ゴシック"/>
                <w:b w:val="0"/>
                <w:i w:val="0"/>
                <w:sz w:val="17"/>
              </w:rPr>
              <w:t>」に改める。設置したときは、計画を定め、又は変更しようとする場合において、</w:t>
            </w:r>
            <w:r>
              <w:rPr>
                <w:rFonts w:ascii="游ゴシック" w:hAnsi="游ゴシック" w:eastAsia="游ゴシック"/>
                <w:b/>
                <w:i w:val="0"/>
                <w:sz w:val="17"/>
              </w:rPr>
              <w:t>あらかじめ当該支援協議会の意見を聴くよう努めなければならない</w:t>
            </w:r>
          </w:p>
        </w:tc>
        <w:tc>
          <w:tcPr>
            <w:tcW w:type="dxa" w:w="1134"/>
            <w:vAlign w:val="center"/>
          </w:tcPr>
          <w:p>
            <w:pPr>
              <w:keepNext/>
              <w:spacing w:before="20" w:after="20"/>
            </w:pPr>
            <w:r>
              <w:rPr>
                <w:rFonts w:ascii="游ゴシック" w:hAnsi="游ゴシック" w:eastAsia="游ゴシック"/>
                <w:b w:val="0"/>
                <w:i w:val="0"/>
                <w:sz w:val="17"/>
              </w:rPr>
              <w:t>名称の変更</w:t>
              <w:br/>
              <w:t>（意見聴取は</w:t>
              <w:br/>
              <w:t>現行どおり）</w:t>
            </w:r>
          </w:p>
        </w:tc>
        <w:tc>
          <w:tcPr>
            <w:tcW w:type="dxa" w:w="3061"/>
            <w:vAlign w:val="center"/>
          </w:tcPr>
          <w:p>
            <w:pPr>
              <w:keepNext/>
              <w:spacing w:before="20" w:after="20"/>
            </w:pPr>
            <w:r>
              <w:rPr>
                <w:rFonts w:ascii="游ゴシック" w:hAnsi="游ゴシック" w:eastAsia="游ゴシック"/>
                <w:b/>
                <w:i w:val="0"/>
                <w:sz w:val="17"/>
              </w:rPr>
              <w:t>第4部1・2。本町の自立支援協議会がこれに当たるかを確かめる。</w:t>
            </w:r>
            <w:r>
              <w:rPr>
                <w:rFonts w:ascii="游ゴシック" w:hAnsi="游ゴシック" w:eastAsia="游ゴシック"/>
                <w:b/>
                <w:i w:val="0"/>
                <w:sz w:val="17"/>
              </w:rPr>
              <w:t>策定手続そのものに関わる</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第77条第1項第3号</w:t>
            </w:r>
          </w:p>
        </w:tc>
        <w:tc>
          <w:tcPr>
            <w:tcW w:type="dxa" w:w="3628"/>
            <w:vAlign w:val="center"/>
          </w:tcPr>
          <w:p>
            <w:pPr>
              <w:spacing w:before="20" w:after="20"/>
            </w:pPr>
            <w:r>
              <w:rPr>
                <w:rFonts w:ascii="游ゴシック" w:hAnsi="游ゴシック" w:eastAsia="游ゴシック"/>
                <w:b w:val="0"/>
                <w:i w:val="0"/>
                <w:sz w:val="17"/>
              </w:rPr>
              <w:t>市町村の地域生活支援事業（相談支援事業）に「当該障害者等の</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」を加える</w:t>
            </w:r>
          </w:p>
        </w:tc>
        <w:tc>
          <w:tcPr>
            <w:tcW w:type="dxa" w:w="1134"/>
            <w:vAlign w:val="center"/>
          </w:tcPr>
          <w:p>
            <w:pPr>
              <w:spacing w:before="20" w:after="20"/>
            </w:pPr>
            <w:r>
              <w:rPr>
                <w:rFonts w:ascii="游ゴシック" w:hAnsi="游ゴシック" w:eastAsia="游ゴシック"/>
                <w:b w:val="0"/>
                <w:i w:val="0"/>
                <w:sz w:val="17"/>
              </w:rPr>
              <w:t>行うものと</w:t>
              <w:br/>
              <w:t>する</w:t>
              <w:br/>
              <w:t>（</w:t>
            </w:r>
            <w:r>
              <w:rPr>
                <w:rFonts w:ascii="游ゴシック" w:hAnsi="游ゴシック" w:eastAsia="游ゴシック"/>
                <w:b/>
                <w:i w:val="0"/>
                <w:sz w:val="17"/>
              </w:rPr>
              <w:t>改正</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第3部第2章6。</w:t>
            </w:r>
            <w:r>
              <w:rPr>
                <w:rFonts w:ascii="游ゴシック" w:hAnsi="游ゴシック" w:eastAsia="游ゴシック"/>
                <w:b/>
                <w:i w:val="0"/>
                <w:sz w:val="17"/>
              </w:rPr>
              <w:t>家族支援の視点が法定化された</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都道府県障害福祉計画（第89条第2項第5号・第6号）では、同じ事項が「定めるものとする」（義務）とされ、さらに「前号の措置に係る目標に関する事項」も加わります。</w:t>
      </w:r>
      <w:r>
        <w:rPr>
          <w:rFonts w:ascii="游ゴシック" w:hAnsi="游ゴシック" w:eastAsia="游ゴシック"/>
          <w:b w:val="0"/>
          <w:i w:val="0"/>
          <w:sz w:val="17"/>
        </w:rPr>
        <w:t>市町村は努力義務で目標の定めがないため、</w:t>
      </w:r>
      <w:r>
        <w:rPr>
          <w:rFonts w:ascii="游ゴシック" w:hAnsi="游ゴシック" w:eastAsia="游ゴシック"/>
          <w:b/>
          <w:i w:val="0"/>
          <w:sz w:val="17"/>
        </w:rPr>
        <w:t>県の計画と同じ構えにしない</w:t>
      </w:r>
      <w:r>
        <w:rPr>
          <w:rFonts w:ascii="游ゴシック" w:hAnsi="游ゴシック" w:eastAsia="游ゴシック"/>
          <w:b w:val="0"/>
          <w:i w:val="0"/>
          <w:sz w:val="17"/>
        </w:rPr>
        <w:t>よう書き分けます。</w:t>
      </w:r>
    </w:p>
    <w:p>
      <w:pPr>
        <w:spacing w:after="120"/>
      </w:pPr>
    </w:p>
    <w:p>
      <w:pPr>
        <w:spacing w:before="60" w:after="60"/>
      </w:pPr>
      <w:r>
        <w:rPr>
          <w:rFonts w:ascii="游ゴシック" w:hAnsi="游ゴシック" w:eastAsia="游ゴシック"/>
          <w:b/>
          <w:i w:val="0"/>
          <w:sz w:val="21"/>
        </w:rPr>
        <w:t>あわせて、医療的ケア児支援法が改正されました（令和8年法律第77号・令和8年7月31日公布・令和9年4月1日施行）。</w:t>
      </w:r>
      <w:r>
        <w:rPr>
          <w:rFonts w:ascii="游ゴシック" w:hAnsi="游ゴシック" w:eastAsia="游ゴシック"/>
          <w:b w:val="0"/>
          <w:i w:val="0"/>
          <w:sz w:val="21"/>
        </w:rPr>
        <w:t xml:space="preserve"> 改正後の題名は</w:t>
      </w:r>
      <w:r>
        <w:rPr>
          <w:rFonts w:ascii="游ゴシック" w:hAnsi="游ゴシック" w:eastAsia="游ゴシック"/>
          <w:b/>
          <w:i w:val="0"/>
          <w:sz w:val="21"/>
        </w:rPr>
        <w:t>「医療的ケア児等及び重症心身障害者並びにそれらの家族に対する支援に関する法律」</w:t>
      </w:r>
      <w:r>
        <w:rPr>
          <w:rFonts w:ascii="游ゴシック" w:hAnsi="游ゴシック" w:eastAsia="游ゴシック"/>
          <w:b w:val="0"/>
          <w:i w:val="0"/>
          <w:sz w:val="21"/>
        </w:rPr>
        <w:t>です。</w:t>
      </w:r>
      <w:r>
        <w:rPr>
          <w:rFonts w:ascii="游ゴシック" w:hAnsi="游ゴシック" w:eastAsia="游ゴシック"/>
          <w:b/>
          <w:i w:val="0"/>
          <w:sz w:val="21"/>
        </w:rPr>
        <w:t>施行日は本計画の期間の初日に当たります。</w:t>
      </w:r>
    </w:p>
    <w:p>
      <w:pPr>
        <w:spacing w:before="60" w:after="60"/>
      </w:pPr>
      <w:r>
        <w:rPr>
          <w:rFonts w:ascii="游ゴシック" w:hAnsi="游ゴシック" w:eastAsia="游ゴシック"/>
          <w:b/>
          <w:i w:val="0"/>
          <w:sz w:val="21"/>
        </w:rPr>
        <w:t>支援の対象に18歳以上の医療的ケア児等と重症心身障害者が加わり（第2条第3項・第4項）、就労支援（第11条の3）、住居の確保（第11条の4）、地域格差の是正のための検証等（第22条）が新たに置かれました。</w:t>
      </w:r>
      <w:r>
        <w:rPr>
          <w:rFonts w:ascii="游ゴシック" w:hAnsi="游ゴシック" w:eastAsia="游ゴシック"/>
          <w:b w:val="0"/>
          <w:i w:val="0"/>
          <w:sz w:val="21"/>
        </w:rPr>
        <w:t xml:space="preserve"> 骨子案 第2版は、成人期・家族の就労・地域格差のいずれにも触れていません。</w:t>
      </w:r>
      <w:r>
        <w:rPr>
          <w:rFonts w:ascii="游ゴシック" w:hAnsi="游ゴシック" w:eastAsia="游ゴシック"/>
          <w:b/>
          <w:i w:val="0"/>
          <w:sz w:val="21"/>
        </w:rPr>
        <w:t>第3部第1章⑧に、成人期を含む構えで書き直します。</w:t>
      </w:r>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w:t>
      </w:r>
      <w:r>
        <w:rPr>
          <w:rFonts w:ascii="游ゴシック" w:hAnsi="游ゴシック" w:eastAsia="游ゴシック"/>
          <w:b/>
          <w:i w:val="0"/>
          <w:sz w:val="21"/>
        </w:rPr>
        <w:t>が、本法改正を踏まえて再改正されます。</w:t>
      </w:r>
      <w:r>
        <w:rPr>
          <w:rFonts w:ascii="游ゴシック" w:hAnsi="游ゴシック" w:eastAsia="游ゴシック"/>
          <w:b w:val="0"/>
          <w:i w:val="0"/>
          <w:sz w:val="21"/>
        </w:rPr>
        <w:t xml:space="preserve"> 医療的ケア児支援センターは</w:t>
      </w:r>
      <w:r>
        <w:rPr>
          <w:rFonts w:ascii="游ゴシック" w:hAnsi="游ゴシック" w:eastAsia="游ゴシック"/>
          <w:b/>
          <w:i w:val="0"/>
          <w:sz w:val="21"/>
        </w:rPr>
        <w:t>医療的ケア児等支援センター</w:t>
      </w:r>
      <w:r>
        <w:rPr>
          <w:rFonts w:ascii="游ゴシック" w:hAnsi="游ゴシック" w:eastAsia="游ゴシック"/>
          <w:b w:val="0"/>
          <w:i w:val="0"/>
          <w:sz w:val="21"/>
        </w:rPr>
        <w:t>に改められ、業務に個別避難計画の作成への協力と災害時における市町村と連携した情報の提供が加わります。</w:t>
      </w:r>
      <w:r>
        <w:rPr>
          <w:rFonts w:ascii="游ゴシック" w:hAnsi="游ゴシック" w:eastAsia="游ゴシック"/>
          <w:b/>
          <w:i w:val="0"/>
          <w:sz w:val="21"/>
        </w:rPr>
        <w:t>成果目標について、都道府県では協議の場に代えて医療的ケア児等支援地域協議会を設置することが基本とされます。</w:t>
      </w:r>
      <w:r>
        <w:rPr>
          <w:rFonts w:ascii="游ゴシック" w:hAnsi="游ゴシック" w:eastAsia="游ゴシック"/>
          <w:b w:val="0"/>
          <w:i w:val="0"/>
          <w:sz w:val="21"/>
        </w:rPr>
        <w:t>市町村の協議の場の扱いは資料に明記がないため、県に確かめます。</w:t>
      </w: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w:t>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keepNext/>
              <w:spacing w:before="20" w:after="20"/>
            </w:pPr>
            <w:r>
              <w:rPr>
                <w:rFonts w:ascii="游ゴシック" w:hAnsi="游ゴシック" w:eastAsia="游ゴシック"/>
                <w:b w:val="0"/>
                <w:i w:val="0"/>
                <w:sz w:val="17"/>
              </w:rPr>
              <w:t>8　アンケート調査の結果</w:t>
            </w:r>
          </w:p>
        </w:tc>
        <w:tc>
          <w:tcPr>
            <w:tcW w:type="dxa" w:w="3945"/>
            <w:vAlign w:val="center"/>
          </w:tcPr>
          <w:p>
            <w:pPr>
              <w:keepNext/>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keepNext/>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keepNext/>
              <w:spacing w:before="20" w:after="20"/>
            </w:pPr>
            <w:r>
              <w:rPr>
                <w:rFonts w:ascii="游ゴシック" w:hAnsi="游ゴシック" w:eastAsia="游ゴシック"/>
                <w:b w:val="0"/>
                <w:i w:val="0"/>
                <w:sz w:val="17"/>
              </w:rPr>
              <w:t>3　分野別施策の取組状況</w:t>
            </w:r>
          </w:p>
        </w:tc>
        <w:tc>
          <w:tcPr>
            <w:tcW w:type="dxa" w:w="5653"/>
            <w:vAlign w:val="center"/>
          </w:tcPr>
          <w:p>
            <w:pPr>
              <w:keepNext/>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keepNext/>
              <w:spacing w:before="20" w:after="20"/>
            </w:pPr>
            <w:r>
              <w:rPr>
                <w:rFonts w:ascii="游ゴシック" w:hAnsi="游ゴシック" w:eastAsia="游ゴシック"/>
                <w:b w:val="0"/>
                <w:i w:val="0"/>
                <w:sz w:val="17"/>
              </w:rPr>
              <w:t>第9章</w:t>
            </w:r>
          </w:p>
        </w:tc>
        <w:tc>
          <w:tcPr>
            <w:tcW w:type="dxa" w:w="2656"/>
            <w:vAlign w:val="center"/>
          </w:tcPr>
          <w:p>
            <w:pPr>
              <w:keepNext/>
              <w:spacing w:before="20" w:after="20"/>
            </w:pPr>
            <w:r>
              <w:rPr>
                <w:rFonts w:ascii="游ゴシック" w:hAnsi="游ゴシック" w:eastAsia="游ゴシック"/>
                <w:b w:val="0"/>
                <w:i w:val="0"/>
                <w:sz w:val="17"/>
              </w:rPr>
              <w:t>雇用・就業の促進</w:t>
            </w:r>
          </w:p>
        </w:tc>
        <w:tc>
          <w:tcPr>
            <w:tcW w:type="dxa" w:w="5624"/>
            <w:vAlign w:val="center"/>
          </w:tcPr>
          <w:p>
            <w:pPr>
              <w:keepNext/>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keepNext/>
              <w:spacing w:before="20" w:after="20"/>
            </w:pPr>
            <w:r>
              <w:rPr>
                <w:rFonts w:ascii="游ゴシック" w:hAnsi="游ゴシック" w:eastAsia="游ゴシック"/>
                <w:b w:val="0"/>
                <w:i w:val="0"/>
                <w:sz w:val="17"/>
              </w:rPr>
              <w:t>人材確保、生産性向上の取組</w:t>
            </w:r>
          </w:p>
        </w:tc>
        <w:tc>
          <w:tcPr>
            <w:tcW w:type="dxa" w:w="2369"/>
            <w:vAlign w:val="center"/>
          </w:tcPr>
          <w:p>
            <w:pPr>
              <w:keepNext/>
              <w:spacing w:before="20" w:after="20"/>
            </w:pPr>
            <w:r>
              <w:rPr>
                <w:rFonts w:ascii="游ゴシック" w:hAnsi="游ゴシック" w:eastAsia="游ゴシック"/>
                <w:b w:val="0"/>
                <w:i w:val="0"/>
                <w:sz w:val="17"/>
              </w:rPr>
              <w:t>（新規の柱）</w:t>
            </w:r>
          </w:p>
        </w:tc>
        <w:tc>
          <w:tcPr>
            <w:tcW w:type="dxa" w:w="2505"/>
            <w:vAlign w:val="center"/>
          </w:tcPr>
          <w:p>
            <w:pPr>
              <w:keepNext/>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keepNext/>
              <w:spacing w:before="20" w:after="20"/>
            </w:pPr>
            <w:r>
              <w:rPr>
                <w:rFonts w:ascii="游ゴシック" w:hAnsi="游ゴシック" w:eastAsia="游ゴシック"/>
                <w:b w:val="0"/>
                <w:i w:val="0"/>
                <w:sz w:val="17"/>
              </w:rPr>
              <w:t>5 障がい児支援</w:t>
            </w:r>
          </w:p>
        </w:tc>
        <w:tc>
          <w:tcPr>
            <w:tcW w:type="dxa" w:w="3105"/>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keepNext/>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2"/>
        <w:gridCol w:w="5334"/>
        <w:gridCol w:w="2945"/>
      </w:tblGrid>
      <w:tr>
        <w:tc>
          <w:tcPr>
            <w:tcW w:type="dxa" w:w="1472"/>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3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4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45"/>
            <w:vAlign w:val="center"/>
          </w:tcPr>
          <w:p>
            <w:pPr>
              <w:spacing w:before="20" w:after="20"/>
            </w:pPr>
            <w:r>
              <w:rPr>
                <w:rFonts w:ascii="游ゴシック" w:hAnsi="游ゴシック" w:eastAsia="游ゴシック"/>
                <w:b w:val="0"/>
                <w:i w:val="0"/>
                <w:sz w:val="17"/>
              </w:rPr>
              <w:t>第1部第2章5、第3部第2章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45"/>
            <w:vAlign w:val="center"/>
          </w:tcPr>
          <w:p>
            <w:pPr>
              <w:spacing w:before="20" w:after="20"/>
            </w:pPr>
            <w:r>
              <w:rPr>
                <w:rFonts w:ascii="游ゴシック" w:hAnsi="游ゴシック" w:eastAsia="游ゴシック"/>
                <w:b w:val="0"/>
                <w:i w:val="0"/>
                <w:sz w:val="17"/>
              </w:rPr>
              <w:t>第1部第2章5、第3部第2章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45"/>
            <w:vAlign w:val="center"/>
          </w:tcPr>
          <w:p>
            <w:pPr>
              <w:spacing w:before="20" w:after="20"/>
            </w:pPr>
            <w:r>
              <w:rPr>
                <w:rFonts w:ascii="游ゴシック" w:hAnsi="游ゴシック" w:eastAsia="游ゴシック"/>
                <w:b w:val="0"/>
                <w:i w:val="0"/>
                <w:sz w:val="17"/>
              </w:rPr>
              <w:t>第1部第2章7、第3部第3章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45"/>
            <w:vAlign w:val="center"/>
          </w:tcPr>
          <w:p>
            <w:pPr>
              <w:spacing w:before="20" w:after="20"/>
            </w:pPr>
            <w:r>
              <w:rPr>
                <w:rFonts w:ascii="游ゴシック" w:hAnsi="游ゴシック" w:eastAsia="游ゴシック"/>
                <w:b w:val="0"/>
                <w:i w:val="0"/>
                <w:sz w:val="17"/>
              </w:rPr>
              <w:t>第3部第1章⑤、第3部第2章4</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45"/>
            <w:vAlign w:val="center"/>
          </w:tcPr>
          <w:p>
            <w:pPr>
              <w:spacing w:before="20" w:after="20"/>
            </w:pPr>
            <w:r>
              <w:rPr>
                <w:rFonts w:ascii="游ゴシック" w:hAnsi="游ゴシック" w:eastAsia="游ゴシック"/>
                <w:b w:val="0"/>
                <w:i w:val="0"/>
                <w:sz w:val="17"/>
              </w:rPr>
              <w:t>第1部第3章1</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施設入所者数の令和7年度末確定値</w:t>
            </w:r>
          </w:p>
        </w:tc>
        <w:tc>
          <w:tcPr>
            <w:tcW w:type="dxa" w:w="2945"/>
            <w:vAlign w:val="center"/>
          </w:tcPr>
          <w:p>
            <w:pPr>
              <w:spacing w:before="20" w:after="20"/>
            </w:pPr>
            <w:r>
              <w:rPr>
                <w:rFonts w:ascii="游ゴシック" w:hAnsi="游ゴシック" w:eastAsia="游ゴシック"/>
                <w:b w:val="0"/>
                <w:i w:val="0"/>
                <w:sz w:val="17"/>
              </w:rPr>
              <w:t>第3部第1章①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45"/>
            <w:vAlign w:val="center"/>
          </w:tcPr>
          <w:p>
            <w:pPr>
              <w:spacing w:before="20" w:after="20"/>
            </w:pPr>
            <w:r>
              <w:rPr>
                <w:rFonts w:ascii="游ゴシック" w:hAnsi="游ゴシック" w:eastAsia="游ゴシック"/>
                <w:b w:val="0"/>
                <w:i w:val="0"/>
                <w:sz w:val="17"/>
              </w:rPr>
              <w:t>第1部第2章8</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関係者団体等ヒアリングの結果</w:t>
            </w:r>
          </w:p>
        </w:tc>
        <w:tc>
          <w:tcPr>
            <w:tcW w:type="dxa" w:w="2945"/>
            <w:vAlign w:val="center"/>
          </w:tcPr>
          <w:p>
            <w:pPr>
              <w:spacing w:before="20" w:after="20"/>
            </w:pPr>
            <w:r>
              <w:rPr>
                <w:rFonts w:ascii="游ゴシック" w:hAnsi="游ゴシック" w:eastAsia="游ゴシック"/>
                <w:b w:val="0"/>
                <w:i w:val="0"/>
                <w:sz w:val="17"/>
              </w:rPr>
              <w:t>第1部第2章9</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45"/>
            <w:vAlign w:val="center"/>
          </w:tcPr>
          <w:p>
            <w:pPr>
              <w:spacing w:before="20" w:after="20"/>
            </w:pPr>
            <w:r>
              <w:rPr>
                <w:rFonts w:ascii="游ゴシック" w:hAnsi="游ゴシック" w:eastAsia="游ゴシック"/>
                <w:b w:val="0"/>
                <w:i w:val="0"/>
                <w:sz w:val="17"/>
              </w:rPr>
              <w:t>第1部第2章3・4</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45"/>
            <w:vAlign w:val="center"/>
          </w:tcPr>
          <w:p>
            <w:pPr>
              <w:spacing w:before="20" w:after="20"/>
            </w:pPr>
            <w:r>
              <w:rPr>
                <w:rFonts w:ascii="游ゴシック" w:hAnsi="游ゴシック" w:eastAsia="游ゴシック"/>
                <w:b w:val="0"/>
                <w:i w:val="0"/>
                <w:sz w:val="17"/>
              </w:rPr>
              <w:t>第1部第2章6、第3部第2章2</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医療的ケア児等（18歳以上の方を含む）の人数と状況、医療的ケア児等コーディネーターの配置状況</w:t>
            </w:r>
          </w:p>
        </w:tc>
        <w:tc>
          <w:tcPr>
            <w:tcW w:type="dxa" w:w="2945"/>
            <w:vAlign w:val="center"/>
          </w:tcPr>
          <w:p>
            <w:pPr>
              <w:spacing w:before="20" w:after="20"/>
            </w:pPr>
            <w:r>
              <w:rPr>
                <w:rFonts w:ascii="游ゴシック" w:hAnsi="游ゴシック" w:eastAsia="游ゴシック"/>
                <w:b w:val="0"/>
                <w:i w:val="0"/>
                <w:sz w:val="17"/>
              </w:rPr>
              <w:t>第1部第2章6、第3部第1章⑧</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45"/>
            <w:vAlign w:val="center"/>
          </w:tcPr>
          <w:p>
            <w:pPr>
              <w:spacing w:before="20" w:after="20"/>
            </w:pPr>
            <w:r>
              <w:rPr>
                <w:rFonts w:ascii="游ゴシック" w:hAnsi="游ゴシック" w:eastAsia="游ゴシック"/>
                <w:b w:val="0"/>
                <w:i w:val="0"/>
                <w:sz w:val="17"/>
              </w:rPr>
              <w:t>第1部第2章2</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45"/>
            <w:vAlign w:val="center"/>
          </w:tcPr>
          <w:p>
            <w:pPr>
              <w:spacing w:before="20" w:after="20"/>
            </w:pPr>
            <w:r>
              <w:rPr>
                <w:rFonts w:ascii="游ゴシック" w:hAnsi="游ゴシック" w:eastAsia="游ゴシック"/>
                <w:b w:val="0"/>
                <w:i w:val="0"/>
                <w:sz w:val="17"/>
              </w:rPr>
              <w:t>第3部第1章③</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地域生活支援事業の事業別実績</w:t>
            </w:r>
          </w:p>
        </w:tc>
        <w:tc>
          <w:tcPr>
            <w:tcW w:type="dxa" w:w="2945"/>
            <w:vAlign w:val="center"/>
          </w:tcPr>
          <w:p>
            <w:pPr>
              <w:spacing w:before="20" w:after="20"/>
            </w:pPr>
            <w:r>
              <w:rPr>
                <w:rFonts w:ascii="游ゴシック" w:hAnsi="游ゴシック" w:eastAsia="游ゴシック"/>
                <w:b w:val="0"/>
                <w:i w:val="0"/>
                <w:sz w:val="17"/>
              </w:rPr>
              <w:t>第3部第2章6</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4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