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lineRule="exact"/>
      </w:pPr>
      <w:r>
        <w:rPr>
          <w:rFonts w:ascii="游ゴシック" w:cs="游ゴシック" w:eastAsia="游ゴシック" w:hAnsi="游ゴシック"/>
          <w:sz w:val="21"/>
          <w:szCs w:val="21"/>
        </w:rPr>
        <w:t xml:space="preserve"/>
      </w:r>
    </w:p>
    <w:p>
      <w:pPr>
        <w:spacing w:after="180" w:line="300" w:lineRule="exact"/>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lineRule="exact"/>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lineRule="exact"/>
        <w:jc w:val="center"/>
      </w:pPr>
      <w:r>
        <w:rPr>
          <w:rFonts w:ascii="游ゴシック" w:cs="游ゴシック" w:eastAsia="游ゴシック" w:hAnsi="游ゴシック"/>
          <w:sz w:val="24"/>
          <w:szCs w:val="24"/>
        </w:rPr>
        <w:t xml:space="preserve">計画期間　令和9年度 〜 令和11年度</w:t>
      </w:r>
    </w:p>
    <w:p>
      <w:pPr>
        <w:spacing w:after="2400" w:line="300" w:lineRule="exact"/>
        <w:jc w:val="center"/>
      </w:pPr>
      <w:r>
        <w:rPr>
          <w:rFonts w:ascii="游ゴシック" w:cs="游ゴシック" w:eastAsia="游ゴシック" w:hAnsi="游ゴシック"/>
          <w:b/>
          <w:bCs/>
          <w:sz w:val="44"/>
          <w:szCs w:val="44"/>
        </w:rPr>
        <w:t xml:space="preserve">素　案</w:t>
      </w:r>
    </w:p>
    <w:p>
      <w:pPr>
        <w:spacing w:after="120" w:line="300" w:lineRule="exact"/>
        <w:jc w:val="center"/>
      </w:pPr>
      <w:r>
        <w:rPr>
          <w:rFonts w:ascii="游ゴシック" w:cs="游ゴシック" w:eastAsia="游ゴシック" w:hAnsi="游ゴシック"/>
          <w:sz w:val="24"/>
          <w:szCs w:val="24"/>
        </w:rPr>
        <w:t xml:space="preserve">令和8年8月</w:t>
      </w:r>
    </w:p>
    <w:p>
      <w:pPr>
        <w:spacing w:after="0" w:line="300" w:lineRule="exact"/>
        <w:jc w:val="center"/>
      </w:pPr>
      <w:r>
        <w:rPr>
          <w:rFonts w:ascii="游ゴシック" w:cs="游ゴシック" w:eastAsia="游ゴシック" w:hAnsi="游ゴシック"/>
          <w:b/>
          <w:bCs/>
          <w:sz w:val="28"/>
          <w:szCs w:val="28"/>
        </w:rPr>
        <w:t xml:space="preserve">北 塩 原 村</w:t>
      </w:r>
    </w:p>
    <w:p>
      <w:r>
        <w:br w:type="page"/>
      </w:r>
    </w:p>
    <w:p>
      <w:pPr>
        <w:spacing w:after="240" w:line="300" w:lineRule="exact"/>
      </w:pPr>
      <w:r>
        <w:rPr>
          <w:rFonts w:ascii="游ゴシック" w:cs="游ゴシック" w:eastAsia="游ゴシック" w:hAnsi="游ゴシック"/>
          <w:b/>
          <w:bCs/>
          <w:color w:val="1F3864"/>
          <w:sz w:val="28"/>
          <w:szCs w:val="28"/>
        </w:rPr>
        <w:t xml:space="preserve">本書の見方</w:t>
      </w:r>
    </w:p>
    <w:p>
      <w:pPr>
        <w:spacing w:after="240" w:line="300" w:lineRule="exact"/>
      </w:pPr>
      <w:r>
        <w:rPr>
          <w:rFonts w:ascii="游ゴシック" w:cs="游ゴシック" w:eastAsia="游ゴシック" w:hAnsi="游ゴシック"/>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lineRule="exact"/>
      </w:pPr>
      <w:r>
        <w:rPr>
          <w:rFonts w:ascii="游ゴシック" w:cs="游ゴシック" w:eastAsia="游ゴシック" w:hAnsi="游ゴシック"/>
          <w:sz w:val="21"/>
          <w:szCs w:val="21"/>
        </w:rPr>
        <w:t xml:space="preserve"/>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計画策定の趣旨</w:t>
      </w:r>
    </w:p>
    <w:p>
      <w:pPr>
        <w:spacing w:after="120" w:line="300" w:lineRule="exact"/>
      </w:pPr>
      <w:r>
        <w:rPr>
          <w:rFonts w:ascii="游ゴシック" w:cs="游ゴシック" w:eastAsia="游ゴシック" w:hAnsi="游ゴシック"/>
          <w:sz w:val="21"/>
          <w:szCs w:val="21"/>
        </w:rPr>
        <w:t xml:space="preserve">本村の高齢化率は令和7年（2025年）に40.5%と推計され、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lineRule="exact"/>
      </w:pPr>
      <w:r>
        <w:rPr>
          <w:rFonts w:ascii="游ゴシック" w:cs="游ゴシック" w:eastAsia="游ゴシック" w:hAnsi="游ゴシック"/>
          <w:sz w:val="21"/>
          <w:szCs w:val="21"/>
        </w:rPr>
        <w:t xml:space="preserve">後期高齢者は令和12年度（2030年度）の602人まで増加が見込まれます（2-2）。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lineRule="exact"/>
      </w:pPr>
      <w:r>
        <w:rPr>
          <w:rFonts w:ascii="游ゴシック" w:cs="游ゴシック" w:eastAsia="游ゴシック" w:hAnsi="游ゴシック"/>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lineRule="exact"/>
      </w:pPr>
      <w:r>
        <w:rPr>
          <w:rFonts w:ascii="游ゴシック" w:cs="游ゴシック" w:eastAsia="游ゴシック" w:hAnsi="游ゴシック"/>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す。この「中山間・人口減少地域」に当たる見込みですが、指定の基準は示された段階にあり、指定は都道府県が定めます（1-8の4）。人材の確保と地域の実情に応じたサービス提供体制の整理が、第10期の中心的な論点になります。</w:t>
      </w:r>
    </w:p>
    <w:p>
      <w:pPr>
        <w:spacing w:after="120" w:line="300" w:lineRule="exact"/>
      </w:pPr>
      <w:r>
        <w:rPr>
          <w:rFonts w:ascii="游ゴシック" w:cs="游ゴシック" w:eastAsia="游ゴシック" w:hAnsi="游ゴシック"/>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計画の法的根拠</w:t>
      </w:r>
    </w:p>
    <w:p>
      <w:pPr>
        <w:spacing w:after="120" w:line="300" w:lineRule="exact"/>
      </w:pPr>
      <w:r>
        <w:rPr>
          <w:rFonts w:ascii="游ゴシック" w:cs="游ゴシック" w:eastAsia="游ゴシック" w:hAnsi="游ゴシック"/>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306"/>
        <w:gridCol w:w="1872"/>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策定の義務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lineRule="exact"/>
      </w:pPr>
      <w:r>
        <w:rPr>
          <w:rFonts w:ascii="游ゴシック" w:cs="游ゴシック" w:eastAsia="游ゴシック" w:hAnsi="游ゴシック"/>
          <w:sz w:val="21"/>
          <w:szCs w:val="21"/>
        </w:rPr>
        <w:t xml:space="preserve">介護保険事業計画に定める事項は、介護保険法第117条第2項が定めなければならないものとし、同条第3項が定めるよう努めるものとしています。第2項は各年度のサービスの種類ごとの量の見込み、地域支援事業の量の見込み、給付の適正化に取り組むべき事項とその目標、中長期的なサービスの見通しです（5-4・5-5・5-8・5-11）。第3項は認知症施策、医療と介護の連携、介護人材の確保、地域包括支援センターの運営、家族介護者への支援、高齢者の居住の安定などで、本計画では第4章の施策として定めています。</w:t>
      </w:r>
    </w:p>
    <w:p>
      <w:pPr>
        <w:spacing w:after="120" w:line="300" w:lineRule="exact"/>
      </w:pPr>
      <w:r>
        <w:rPr>
          <w:rFonts w:ascii="游ゴシック" w:cs="游ゴシック" w:eastAsia="游ゴシック" w:hAnsi="游ゴシック"/>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lineRule="exact"/>
      </w:pPr>
      <w:r>
        <w:rPr>
          <w:rFonts w:ascii="游ゴシック" w:cs="游ゴシック" w:eastAsia="游ゴシック" w:hAnsi="游ゴシック"/>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計画の期間</w:t>
      </w:r>
    </w:p>
    <w:p>
      <w:pPr>
        <w:spacing w:after="120" w:line="300" w:lineRule="exact"/>
      </w:pPr>
      <w:r>
        <w:rPr>
          <w:rFonts w:ascii="游ゴシック" w:cs="游ゴシック" w:eastAsia="游ゴシック" w:hAnsi="游ゴシック"/>
          <w:sz w:val="21"/>
          <w:szCs w:val="21"/>
        </w:rPr>
        <w:t xml:space="preserve">本計画の期間は令和9年度から令和11年度までの3か年です。あわせて、団塊ジュニア世代が65歳以上となる令和22年度（2040年度）を見据えた中長期的な見通しを示します。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872"/>
        <w:gridCol w:w="1498"/>
        <w:gridCol w:w="131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計画の位置づけ</w:t>
      </w:r>
    </w:p>
    <w:p>
      <w:pPr>
        <w:spacing w:after="120" w:line="300" w:lineRule="exact"/>
      </w:pPr>
      <w:r>
        <w:rPr>
          <w:rFonts w:ascii="游ゴシック" w:cs="游ゴシック" w:eastAsia="游ゴシック" w:hAnsi="游ゴシック"/>
          <w:sz w:val="21"/>
          <w:szCs w:val="21"/>
        </w:rPr>
        <w:t xml:space="preserve">本計画は、北塩原村の最上位計画である総合振興計画を上位計画とし、保健・医療・福祉の各分野の計画と整合を図りながら推進します。</w:t>
      </w:r>
    </w:p>
    <w:p>
      <w:pPr>
        <w:spacing w:after="120" w:line="300" w:lineRule="exact"/>
      </w:pPr>
      <w:r>
        <w:rPr>
          <w:rFonts w:ascii="游ゴシック" w:cs="游ゴシック" w:eastAsia="游ゴシック" w:hAnsi="游ゴシック"/>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障がい福祉計画との関係</w:t>
      </w:r>
    </w:p>
    <w:p>
      <w:pPr>
        <w:spacing w:after="120" w:line="300" w:lineRule="exact"/>
      </w:pPr>
      <w:r>
        <w:rPr>
          <w:rFonts w:ascii="游ゴシック" w:cs="游ゴシック" w:eastAsia="游ゴシック" w:hAnsi="游ゴシック"/>
          <w:sz w:val="21"/>
          <w:szCs w:val="21"/>
        </w:rPr>
        <w:t xml:space="preserve">本計画と同時期に、第8期障がい福祉計画・第4期障がい児福祉計画が策定されます。両計画は同じ方を対象とする場面があります。障害者総合支援法第7条により、65歳以上となって介護保険の被保険者となった方については、給付の内容が重なる部分について原則として介護保険制度が優先されます。ただしサービスの種類、本人の心身の状況、利用の意向、介護保険で確保できる支援の量を個別に確認するものであり、年齢に達したことのみを理由として一律に介護保険へ移るものではありません。40歳から64歳までの第2号被保険者についても、16の特定疾病に該当して要介護・要支援の状態にある方が給付の対象となります。</w:t>
      </w:r>
    </w:p>
    <w:p>
      <w:pPr>
        <w:spacing w:after="120" w:line="300" w:lineRule="exact"/>
      </w:pPr>
      <w:r>
        <w:rPr>
          <w:rFonts w:ascii="游ゴシック" w:cs="游ゴシック" w:eastAsia="游ゴシック" w:hAnsi="游ゴシック"/>
          <w:sz w:val="21"/>
          <w:szCs w:val="21"/>
        </w:rPr>
        <w:t xml:space="preserve">本村の規模では、1人の移行が両計画の見込量を動かします。このため年齢に達した方ごとに移行の可否を確かめ、実際に移る分だけを両計画の見込量へ同じ年度に反映します。具体の手だては施策4-1（地域包括支援センターの機能強化）に、村内の事業所に関わる取組は施策3-1（居宅サービスの確保）に記載しています。両計画の対照は資9に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8期障がい福祉計画・第4期障がい児福祉計画は令和8年10月時点で素案の段階にあり、同計画の第7章（他計画との連携）は健康21・総合振興計画・こども計画の3計画を扱っています。本計画との連携の節は双方に置く必要があるため、障がい福祉担当との協議のうえ、両計画の記載を揃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日常生活圏域の設定</w:t>
      </w:r>
    </w:p>
    <w:p>
      <w:pPr>
        <w:spacing w:after="120" w:line="300" w:lineRule="exact"/>
      </w:pPr>
      <w:r>
        <w:rPr>
          <w:rFonts w:ascii="游ゴシック" w:cs="游ゴシック" w:eastAsia="游ゴシック" w:hAnsi="游ゴシック"/>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lineRule="exact"/>
      </w:pPr>
      <w:r>
        <w:rPr>
          <w:rFonts w:ascii="游ゴシック" w:cs="游ゴシック" w:eastAsia="游ゴシック" w:hAnsi="游ゴシック"/>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1-6　計画の策定体制と策定経過</w:t>
      </w:r>
    </w:p>
    <w:p>
      <w:pPr>
        <w:spacing w:after="120" w:line="300" w:lineRule="exact"/>
      </w:pPr>
      <w:r>
        <w:rPr>
          <w:rFonts w:ascii="游ゴシック" w:cs="游ゴシック" w:eastAsia="游ゴシック" w:hAnsi="游ゴシック"/>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編集注記：策定委員会の開催実績・委員名簿・パブリックコメントの実施結果は、資料編（資1・資2・資4）に掲載します。日付と委員名簿は確定後に記入します。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1-7　SDGsとの関係</w:t>
      </w:r>
    </w:p>
    <w:p>
      <w:pPr>
        <w:spacing w:after="120" w:line="300" w:lineRule="exact"/>
      </w:pPr>
      <w:r>
        <w:rPr>
          <w:rFonts w:ascii="游ゴシック" w:cs="游ゴシック" w:eastAsia="游ゴシック" w:hAnsi="游ゴシック"/>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lineRule="exact"/>
      </w:pPr>
      <w:r>
        <w:rPr>
          <w:rFonts w:ascii="游ゴシック" w:cs="游ゴシック" w:eastAsia="游ゴシック" w:hAnsi="游ゴシック"/>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1-8　介護保険制度改正の主な内容</w:t>
      </w:r>
    </w:p>
    <w:p>
      <w:pPr>
        <w:keepNext/>
        <w:keepLines/>
        <w:spacing w:after="100" w:line="300" w:lineRule="exact"/>
      </w:pPr>
      <w:r>
        <w:rPr>
          <w:rFonts w:ascii="游ゴシック" w:cs="游ゴシック" w:eastAsia="游ゴシック" w:hAnsi="游ゴシック"/>
          <w:b/>
          <w:bCs/>
          <w:color w:val="2E75B6"/>
          <w:sz w:val="22"/>
          <w:szCs w:val="22"/>
        </w:rPr>
        <w:t xml:space="preserve">1　社会福祉法等の一部を改正する法律（令和8年法律第51号）</w:t>
      </w:r>
    </w:p>
    <w:p>
      <w:pPr>
        <w:spacing w:after="120" w:line="300" w:lineRule="exact"/>
      </w:pPr>
      <w:r>
        <w:rPr>
          <w:rFonts w:ascii="游ゴシック" w:cs="游ゴシック" w:eastAsia="游ゴシック" w:hAnsi="游ゴシック"/>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3744"/>
        <w:gridCol w:w="2995"/>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本村は該当する見込みです（本節4）。施策3-1から3-4および5-4の見込量に関わります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本村はいずれも令和5年度から令和7年度まで利用実績がありません（5-4(2)）。区分を国の様式の確定後に統合します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中長期的なサービスの見通しを計画に定めることを必須とするとともに、高齢者向け住まいの入居定員を勘案することとする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中長期の見通しは5-11に加えます。入居定員の勘案は、村内に有料老人ホーム・サービス付き高齢者向け住宅がないため、村外施設の利用状況の把握により行います（2-5、4-6）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介護支援専門員証の更新制の廃止と電子資格確認の導入、被保険者証等の返還義務の廃止、要介護認定等の申請代行を行うことができる者の範囲の見直し等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いずれも手続の簡素化に関するもので、給付費および保険料には影響しません。制度の周知と窓口事務の見直しに反映します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編集注記：政令・省令および介護報酬改定の内容が示された時点で、本節および関係する節を再照合します。第10期の国の基本指針は本稿の時点で告示前です。</w:t>
      </w:r>
    </w:p>
    <w:p>
      <w:pPr>
        <w:keepNext/>
        <w:keepLines/>
        <w:spacing w:after="100" w:line="300" w:lineRule="exact"/>
      </w:pPr>
      <w:r>
        <w:rPr>
          <w:rFonts w:ascii="游ゴシック" w:cs="游ゴシック" w:eastAsia="游ゴシック" w:hAnsi="游ゴシック"/>
          <w:b/>
          <w:bCs/>
          <w:color w:val="2E75B6"/>
          <w:sz w:val="22"/>
          <w:szCs w:val="22"/>
        </w:rPr>
        <w:t xml:space="preserve">2　政令・告示等による主な見直し</w:t>
      </w:r>
    </w:p>
    <w:p>
      <w:pPr>
        <w:spacing w:after="120" w:line="300" w:lineRule="exact"/>
      </w:pPr>
      <w:r>
        <w:rPr>
          <w:rFonts w:ascii="游ゴシック" w:cs="游ゴシック" w:eastAsia="游ゴシック" w:hAnsi="游ゴシック"/>
          <w:sz w:val="21"/>
          <w:szCs w:val="21"/>
        </w:rPr>
        <w:t xml:space="preserve">法律の改正とは別に、政令・告示等による見直しが第10期の期間中に施行されます。本村の給付費・保険料および事務に関わるものは次のとおりです。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498"/>
        <w:gridCol w:w="5054"/>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見直しの内容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施行の時期</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保険料の所得段階を区分する合計所得金額の基準額を80.9万円から82.65万円に引き上げる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政令改正済み</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5-7の所得段階の設定に反映します。第1段階から第3段階の区分に関わるため、村の条例の改正の手続を要します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財政調整交付金の後期高齢者加入割合補正係数について、年齢区分を3区分から7区分に細分化するとともに、激変緩和の措置を設ける</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本計画の2年度目に当たります。5-7の調整交付金の見込交付割合は3区分による現行の補正係数により算定しているため、7区分による係数が示された時点で保険料を再算定します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補足給付（特定入所者介護サービス費）の負担限度額および所得段階の区分の見直し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区分の細分化を伴わない見直しは令和8年度から。区分の細分化は令和9年度から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見込みに関わります。本村の補足給付は令和5年度決算で標準給付費の一定の割合を占めており、見直しの内容により変動します。第3段階①を本人年金収入等80万円超100万円以下と100万円超120万円以下に、第3段階②を120万円超140万円以下と140万円超に区分し、第3段階①イ・②イの負担限度額に上乗せを行うもので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令和8年度介護報酬改定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本計画の見込量の基準年度は令和7年度であり、単価は令和5年度から令和7年度の3か年平均で固定しています。したがって令和8年度の改定は単価に反映されていません（5-4(10)①）</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利用者負担2割の対象となる一定以上所得の基準の見直し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令和8年度中に結論（施行の時期は未定）</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に影響します。第1号被保険者負担分ではなく給付費の総額に関わるため、結論が示された時点で5-6の標準給付費を再算定します。結論の時期は、部会の意見書が「第10期介護保険事業計画期間の開始（令和9年度〜）の前まで」、経済財政運営と改革の基本方針2026が「2026年度中」としています（本節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令和7年度税制改正（給与所得控除等の見直し）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令和7年度分の所得から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5-7の所得段階別の第1号被保険者の加入割合の実績に影響します。令和8年度の賦課の実績が確定した時点で加入割合を更新します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介護保険事業状況報告の様式の見直し</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令和8年度から</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2-4・2-7の実績値の系列に関わります。見直しの前後で系列が接続するかを確認します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高額医療合算介護サービス費の自動償還</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市町村の判断により実施</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5-6の補助給付等のうち審査支払手数料および高額医療合算の事務に関わります。実施するかどうかを村に確認します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医療と介護の協議の場の再編成および協力医療機関の要件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施策4-3（在宅医療・介護連携の推進）に反映します。協力医療機関の3つの要件を満たさない施設の把握が求められますが、村内の入所施設は認知症対応型共同生活介護の2施設のみです（2-5）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2040年を見据えた地域類型（中山間・人口減少地域／大都市部／一般市等）の設定</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第10期の基本指針</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本村は中山間・人口減少地域に当たる見込みです（本節4）</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の見直しの施行の時期は、社会保障審議会介護保険部会の意見書（令和7年12月25日）が「第10期介護保険事業計画期間（令和9年度〜）からの実施を基本とした上で、区分の細分化を伴わない見直しについては令和8年度から実施することが適当である」としていることによります。区分の細分化は令和9年度の当初からの施行が基本とされており、年度の途中からの施行ではありません。出典は第136回社会保障審議会介護保険部会（令和8年9月18日）資料2です。政令・省令が公布された時点で負担限度額を確認し、5-6の補助給付等を再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保険料の基準額82.65万円への引上げと調整交付金の7区分化は、いずれも保険料の算定に直接効きます。前者は条例改正の手続を、後者は令和10年度の再算定を要するため、5-12(2)の国の政令・告示等が示されていない項目にも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3　令和8年9月の社会保障審議会介護保険部会において示された事項</w:t>
      </w:r>
    </w:p>
    <w:p>
      <w:pPr>
        <w:spacing w:after="120" w:line="300" w:lineRule="exact"/>
      </w:pPr>
      <w:r>
        <w:rPr>
          <w:rFonts w:ascii="游ゴシック" w:cs="游ゴシック" w:eastAsia="游ゴシック" w:hAnsi="游ゴシック"/>
          <w:sz w:val="21"/>
          <w:szCs w:val="21"/>
        </w:rPr>
        <w:t xml:space="preserve">令和8年9月18日の社会保障審議会介護保険部会において、第10期の計画期間に関わる事項が示されました。制度として定まったもの、報告されたもの、なお検討の段階にあるものが含まれるため、本計画における取扱いを事項ごとに分け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本計画における取扱い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介護給付適正化の取組と調整交付金の減額</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年齢区分の精緻化により交付額が増加する保険者について、①介護給付費適正化の主要3事業（要介護認定の適正化、ケアプラン等の点検、医療情報との突合・縦覧点検）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-5および5-8に反映します。本村は主要3事業のうち要介護認定の適正化の実施状況が確認できていないため、①に該当する可能性があります。減額は交付額が増加する場合の増加額を限度とするものであり、本村の交付額が増加するかは交付割合が確定した時点で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においては、高所得者の標準乗率の見直しおよび住民税非課税の段階から課税の段階に上がるときの保険料の上昇の緩和を含めた国の定める標準段階の見直しなどにより、負担能力に応じた保険料設定を図ることが考えられるとして、検討を行うことについて意見が求められた。現行の階段方式を含めた在り方の検討は中長期的な課題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の所得段階は第9期の標準13段階を据え置いて算定しています。本村は市町村民税非課税の第1段階から第5段階が612人・60.3%を占めるため、課税化に伴う上昇の緩和は本村の被保険者に広く関わります。政令が公布された時点で段階数と乗率を確認して再算定し、条例の改正の手続を行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介護情報基盤の構築と活用</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請求情報・ケアプラン等を本人、介護事業所および医療機関等が電子的に共有する基盤が構築される。全市町村において令和10年4月1日までにデータ移行を含めて完了し、活用を開始することを目指すこととされた</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施策4-3（在宅医療・介護連携）および施策4-6（情報の共有）に位置づけます。村の介護保険事務システムの標準化対応とデータ移行の工程を確認します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ケアプランデータ連携機能の統合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介護情報基盤とケアプランデータ連携機能を統合して一体的に運用する。統合後は新しいシステムでの事業所および管理者の登録を要する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村内の居宅介護支援事業所およびサービス事業所への周知と登録の支援を施策4-6に位置づけます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介護サービス事業者の経営情報の報告が義務づけられ、国において属性等に応じて区分した分析結果が公表される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5-4(12)の担い手の枠の試算を補う材料として用います。村の区域を単位とする値が得られる範囲は示されていないため、公表された分析結果のうち用いられる範囲を確認して用います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介護事業者の連携強化（都道府県との協定）</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一定期間の事業継続や事業者間の連携・協働を推進する法人・事業所が都道府県と協定を締結する仕組みが示された。市町村の果たすべき役割については引き続き検討することとされている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-1（居宅サービスの確保）に県との連携の方向として位置づけます。村内に事業所が3種類しかない本村にとって、村外の事業者の継続は供給の確保に直接関わります。市町村の役割が示された時点で具体の取組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1「第1号保険料の在り方について」、資料2「持続可能性の確保（給付と負担）について」、資料3「介護情報基盤について」、資料4「介護サービス事業者経営情報の調査及び分析等について」、資料5「介護給付適正化に向けた取組について」、資料6「介護事業者の連携強化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いずれも本計画の見込量・給付費・保険料の算定には織り込んでいません。調整交付金の減額は、年齢区分の精緻化により交付額が増加する保険者を対象とし、増加額を限度とするものであるため、増加額が示されるまで減額の額を算定できません。第1号保険料の在り方は検討を行うことについて意見が求められた段階であり、結論および施行の時期は定まっていません。該当する項目は5-12に掲げています。</w:t>
      </w:r>
    </w:p>
    <w:p>
      <w:pPr>
        <w:keepNext/>
        <w:keepLines/>
        <w:spacing w:after="100" w:line="300" w:lineRule="exact"/>
      </w:pPr>
      <w:r>
        <w:rPr>
          <w:rFonts w:ascii="游ゴシック" w:cs="游ゴシック" w:eastAsia="游ゴシック" w:hAnsi="游ゴシック"/>
          <w:b/>
          <w:bCs/>
          <w:color w:val="2E75B6"/>
          <w:sz w:val="22"/>
          <w:szCs w:val="22"/>
        </w:rPr>
        <w:t xml:space="preserve">4　中山間・人口減少地域（特定地域）への該当</w:t>
      </w:r>
    </w:p>
    <w:p>
      <w:pPr>
        <w:spacing w:after="120" w:line="300" w:lineRule="exact"/>
      </w:pPr>
      <w:r>
        <w:rPr>
          <w:rFonts w:ascii="游ゴシック" w:cs="游ゴシック" w:eastAsia="游ゴシック" w:hAnsi="游ゴシック"/>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lineRule="exact"/>
      </w:pPr>
      <w:r>
        <w:rPr>
          <w:rFonts w:ascii="游ゴシック" w:cs="游ゴシック" w:eastAsia="游ゴシック" w:hAnsi="游ゴシック"/>
          <w:sz w:val="21"/>
          <w:szCs w:val="21"/>
        </w:rPr>
        <w:t xml:space="preserve">本村の75歳以上人口は令和7年12月末で526人です。密度が5人／km²を下回るのは面積が105.2km²を超える場合であり、本村の面積はこれを大きく上回ります。この計算によれば本村は基準②の密度要件に該当する見込みですが、次の2点により確定したものではありません。第一に、上記の基準は部会に素案として示されたものであり、省令等により確定したものではありません。第二に、指定は確定した基準と村の意向を踏まえて都道府県が定めるものです。下表は現時点の基準による試算であり、指定の結果により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4867"/>
        <w:gridCol w:w="374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本村の判定（現時点の基準による試算）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定を受けられるかどうかは本村にとって重要です。村内で提供されている介護サービスは訪問介護・通所介護・認知症対応型共同生活介護の3種類にとどまり（2-5）、多くを村外の事業所で利用しています。特定地域サービスは人員配置基準を弾力化する方向が示されたものであり、特定地域居宅サービス等事業は、指定サービスを前提とした基盤の維持が困難な地域において、村が事業としてサービスを提供することを可能とする方向が示されたものです。いずれも、事業所がないことを前提に組み立ててきた本村の施策に新たな選択肢を与え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制度の内容は確定していません。特定地域サービスについては対象となるサービスの種類・人員配置基準の弾力化の程度・報酬の評価の方法が、特定地域居宅サービス等事業については事業の内容・費用の負担・事業費の上限が、いずれも今後定められます。このため本計画では、制度の内容が確定するまでは事業費を算定できません。5-4(4)および5-5は0で立てており（5-12）、確定した時点で見込量と事業費を算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5　引き続き検討することとされた事項</w:t>
      </w:r>
    </w:p>
    <w:p>
      <w:pPr>
        <w:spacing w:after="120" w:line="300" w:lineRule="exact"/>
      </w:pPr>
      <w:r>
        <w:rPr>
          <w:rFonts w:ascii="游ゴシック" w:cs="游ゴシック" w:eastAsia="游ゴシック" w:hAnsi="游ゴシック"/>
          <w:sz w:val="21"/>
          <w:szCs w:val="21"/>
        </w:rPr>
        <w:t xml:space="preserve">社会保障審議会介護保険部会の意見書（令和7年12月25日）では、給付と負担について検討された論点が、一定の結論を得たものと、引き続き検討することとされたものに分かれています。前者のうち本計画に関わるもの（補足給付の見直し等）は本節2に掲げました。後者は、結論が本計画の期間中に示され得るものであり、示された場合には給付費・保険料・利用者負担のいずれかに影響します。本計画はいずれも織り込まずに算定しているため、影響が及び得る箇所と対に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118"/>
        <w:gridCol w:w="318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引き続き検討することとされた事項</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原典における記載</w:t>
            </w:r>
          </w:p>
        </w:tc>
        <w:tc>
          <w:tcPr>
            <w:tcW w:type="dxa" w:w="318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影響が及び得る本計画の箇所</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第1号保険料負担の在り方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被保険者の負担能力に応じた保険料設定について、引き続き検討を行う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5-7。所得段階は標準13段階を仮置きしています。標準段階・標準乗率の見直しは令和8年9月の部会で検討の論点として示されました（本節3）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「一定以上所得」の判断基準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部会で継続検討し、第10期介護保険事業計画期間の開始（令和9年度〜）の前までに、結論を得る。経済財政運営と改革の基本方針2026（令和8年7月21日閣議決定）では「2割負担の判断基準の見直しについて2026年度中に結論を得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5-6。利用者負担の割合が変わると給付費の総額が動きます。結論の時期が本計画の初日の前とされている唯一の事項です（本節2）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「現役並み所得」の判断基準</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医療保険制度との整合性や利用者への影響等を踏まえつつ、引き続き検討を行う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5-6。高額介護サービス費の負担の上限額の段階に関わります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多床室の室料負担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在宅との負担の公平性、各施設の機能や利用実態等を踏まえつつ、介護給付費分科会において検討を行う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5-4(5)・5-6。村内に多床室を有する施設はありませんが、施設サービスの利用者はすべて村外の施設であるため（2-5）、入所者の負担に関わります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ケアマネジメントに関する給付の在り方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制といった事前規制の対象となる有料老人ホームの入居者に係る新たな相談支援の類型（登録施設介護支援）に対して利用者負担を求めることが考えられるところ、丁寧に検討を行う。令和8年9月の部会資料では、一定の結論を得た論点として「新設した『登録施設介護支援』等への利用者負担の導入を進めている」とされている</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5-4(1)・5-6。村内に有料老人ホームはありません（2-5）。村外の住まいを利用している方の負担と、居宅介護支援の給付費に関わります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軽度者への生活援助サービス等に関する給付の在り方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活動の整備の進捗状況、従前相当サービス等における専門職の役割、専門職によるサービスと地域の支え合いの仕組みの連携の実施状況など、検討に必要なデータを多角的に収集・分析しつつ、市町村の意向や利用者への影響等も踏まえながら、引き続き、包括的に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5-5・施策1-2。本村の総合事業は従前相当サービスのみで、多様なサービス（サービスA・B・C・D）がいずれも未実施です（2-6）。給付から総合事業への移行が進む場合、受け皿の整備が前提になります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被保険者範囲・受給者範囲</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介護保険を取り巻く状況の変化も踏まえつつ、引き続き検討を行う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5-7。第2号被保険者負担率（27%）および第1号被保険者負担率（23%）の前提に関わります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金融所得、金融資産の反映の在り方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金融所得の保険料や窓口負担等への反映については、後期高齢者医療制度での対応状況も踏まえつつ、将来的な導入について、制度面・運用面等の総合的な観点から、引き続き検討を行う。金融資産の反映の在り方については、預貯金等の確認でのマイナンバーの活用について、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5-7・5-6。所得段階別の加入割合と、補足給付の資産の要件に関わります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高額介護サービス費の在り方</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制度の運用状況を踏まえ、引き続き検討を行う</w:t>
            </w:r>
          </w:p>
        </w:tc>
        <w:tc>
          <w:tcPr>
            <w:tcW w:type="dxa" w:w="318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5-6。高額介護サービス費は補助給付等に含まれます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2「持続可能性の確保（給付と負担）について」。同資料に抄録された介護保険制度の見直しに関する意見（令和7年12月25日社会保障審議会介護保険部会）および経済財政運営と改革の基本方針2026（令和8年7月21日閣議決定）を含み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事項は、いずれも結論および施行の時期が定まっていないため、本計画の見込量・給付費・保険料には織り込んでいません。ケアマネジメントに関する給付の在り方については、意見書が「丁寧に検討を行う」としている一方、令和8年9月の部会資料が一定の結論を得た論点として挙げているため、両方の記載を掲げています。利用者負担の水準と施行の時期は、いずれの資料にも示されていません。結論が示された事項については、5-12の確定の条件に従って再算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人口と世帯の状況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lineRule="exact"/>
      </w:pPr>
      <w:r>
        <w:rPr>
          <w:rFonts w:ascii="游ゴシック" w:cs="游ゴシック" w:eastAsia="游ゴシック" w:hAnsi="游ゴシック"/>
          <w:sz w:val="21"/>
          <w:szCs w:val="21"/>
        </w:rPr>
        <w:t xml:space="preserve">本節の令和7年の値は国立社会保障・人口問題研究所の推計です。実績ではありません。村の住民基本台帳による人口は基準日が異なり、値も異なります。同時に策定している障がい福祉計画は住民基本台帳の実績を用いているため、両計画で同じ年の高齢化率が異なる値で現れます（資9）。本計画は将来の見通しを扱うため、国勢調査と社人研推計の系列で通します。村の実績値を示す箇所では、基準日を添えて住民基本台帳によることを明記します。</w:t>
      </w:r>
    </w:p>
    <w:p>
      <w:pPr>
        <w:spacing w:after="120" w:line="300" w:lineRule="exact"/>
      </w:pPr>
      <w:r>
        <w:rPr>
          <w:rFonts w:ascii="游ゴシック" w:cs="游ゴシック" w:eastAsia="游ゴシック" w:hAnsi="游ゴシック"/>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310"/>
        <w:gridCol w:w="1498"/>
        <w:gridCol w:w="1310"/>
        <w:gridCol w:w="1310"/>
        <w:gridCol w:w="131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高齢化率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出典：総務省「国勢調査」（令和2年まで）、国立社会保障・人口問題研究所「日本の地域別将来推計人口」（令和7年）　単位：人</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県との差は令和12年の7.8ポイントが最大となり、その後は縮小に向かいます。本計画の期間は、県との差が最も大きくなる時期にあたります。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将来人口の見通し</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6"/>
          <w:szCs w:val="16"/>
        </w:rPr>
        <w:t xml:space="preserve">出典：国立社会保障・人口問題研究所「日本の地域別将来推計人口」</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lineRule="exact"/>
      </w:pPr>
      <w:r>
        <w:rPr>
          <w:rFonts w:ascii="游ゴシック" w:cs="游ゴシック" w:eastAsia="游ゴシック" w:hAnsi="游ゴシック"/>
          <w:sz w:val="21"/>
          <w:szCs w:val="21"/>
        </w:rPr>
        <w:t xml:space="preserve">本村の高齢者人口はすでに減少局面に入っています。一方で、75歳以上の後期高齢者は令和12年度（2030年度）の602人まで増加を続けます。本計画の期間（令和9年度から令和11年度まで）は、その増加のまっただ中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第1号被保険者数の推計</w:t>
      </w:r>
    </w:p>
    <w:p>
      <w:pPr>
        <w:spacing w:after="120" w:line="300" w:lineRule="exact"/>
      </w:pPr>
      <w:r>
        <w:rPr>
          <w:rFonts w:ascii="游ゴシック" w:cs="游ゴシック" w:eastAsia="游ゴシック" w:hAnsi="游ゴシック"/>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り、この指摘は当てはまります。ただし国の推計ワークシートは第1号被保険者数を3区分で持ち、調整交付金の後期高齢者加入割合補正係数も3区分の全国値から算出される様式であるため、本計画は3区分で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872"/>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後期高齢者の割合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令和7年12月末のみ実績です。</w:t>
      </w:r>
    </w:p>
    <w:p>
      <w:pPr>
        <w:spacing w:after="120" w:line="300" w:lineRule="exact"/>
      </w:pPr>
      <w:r>
        <w:rPr>
          <w:rFonts w:ascii="游ゴシック" w:cs="游ゴシック" w:eastAsia="游ゴシック" w:hAnsi="游ゴシック"/>
          <w:sz w:val="21"/>
          <w:szCs w:val="21"/>
        </w:rPr>
        <w:t xml:space="preserve">第1号被保険者数は令和9年度の1,004人から令和11年度の994人へと10人（1.0%）減少します。一方で後期高齢者の割合は55.8%から59.3%へと3.5ポイント上昇します。人数は減るものの、支援を必要とする方の割合が高い層が増える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配布データの推計値をそのまま用いると、令和8年の第1号被保険者数は953人となり、実績の1,012人を59人下回ります。実績に対して5.8%の差で、第9期計画で生じた乖離（6.6%）とほぼ同じ規模です。上表は、配布データの伸び率を用いつつ水準を実績に合わせた系列で、国の推計ワークシートに入力され県に提出された値です。算定の考え方は5-1に、年齢区分別の内訳は5-2に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要支援・要介護認定の状況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6"/>
          <w:szCs w:val="16"/>
        </w:rPr>
        <w:t xml:space="preserve">出典：厚生労働省「介護保険事業状況報告」</w:t>
      </w:r>
    </w:p>
    <w:p>
      <w:pPr>
        <w:keepNext/>
        <w:keepLines/>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2099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図2-9　性・年齢調整済み認定率の推移（要介護度の区分別）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要支援・要介護認定の状況を令和8年3月末時点の値により記載します。福島県・全国との比較が同一時点でそろうのが3月末であること、人口・費用額・保険料など他の系列も年度末で揃うことによります。「見える化」システムには令和8年5月末時点の値（認定者211人・認定率20.7%）も収録されていますが、本計画では用いません。ただし認定率の順位は5月末時点のものしか公表されていないため、その箇所のみ時点を断ったうえで用いています。</w:t>
      </w:r>
    </w:p>
    <w:p>
      <w:pPr>
        <w:spacing w:after="120" w:line="300" w:lineRule="exact"/>
      </w:pPr>
      <w:r>
        <w:rPr>
          <w:rFonts w:ascii="游ゴシック" w:cs="游ゴシック" w:eastAsia="游ゴシック" w:hAnsi="游ゴシック"/>
          <w:sz w:val="21"/>
          <w:szCs w:val="21"/>
        </w:rPr>
        <w:t xml:space="preserve">令和8年3月末時点の要支援・要介護認定者は214人、認定率は21.1%です。認定率は令和2年3月末の17.4%から3.7ポイント上昇しました。</w:t>
      </w:r>
    </w:p>
    <w:p>
      <w:pPr>
        <w:keepNext/>
        <w:keepLines/>
        <w:spacing w:after="100" w:line="300" w:lineRule="exact"/>
      </w:pPr>
      <w:r>
        <w:rPr>
          <w:rFonts w:ascii="游ゴシック" w:cs="游ゴシック" w:eastAsia="游ゴシック" w:hAnsi="游ゴシック"/>
          <w:b/>
          <w:bCs/>
          <w:color w:val="2E75B6"/>
          <w:sz w:val="22"/>
          <w:szCs w:val="22"/>
        </w:rPr>
        <w:t xml:space="preserve">県内・全国との比較</w:t>
      </w:r>
    </w:p>
    <w:p>
      <w:pPr>
        <w:spacing w:after="120" w:line="300" w:lineRule="exact"/>
      </w:pPr>
      <w:r>
        <w:rPr>
          <w:rFonts w:ascii="游ゴシック" w:cs="游ゴシック" w:eastAsia="游ゴシック" w:hAnsi="游ゴシック"/>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順位は「見える化」システムが令和8年5月末時点で公表しているもので、本節の他の値（令和8年3月末）とは時点が異なりま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要介護度別の状況</w:t>
      </w:r>
    </w:p>
    <w:p>
      <w:pPr>
        <w:spacing w:after="120" w:line="300" w:lineRule="exact"/>
      </w:pPr>
      <w:r>
        <w:rPr>
          <w:rFonts w:ascii="游ゴシック" w:cs="游ゴシック" w:eastAsia="游ゴシック" w:hAnsi="游ゴシック"/>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936"/>
        <w:gridCol w:w="936"/>
        <w:gridCol w:w="936"/>
        <w:gridCol w:w="936"/>
        <w:gridCol w:w="936"/>
        <w:gridCol w:w="936"/>
        <w:gridCol w:w="936"/>
        <w:gridCol w:w="93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新たに認定を受けた方に占める要支援1の割合も、令和5年度41.5%、令和6年度40.6%と4割を超えています。</w:t>
      </w:r>
    </w:p>
    <w:p>
      <w:pPr>
        <w:keepNext/>
        <w:keepLines/>
        <w:spacing w:after="100" w:line="300" w:lineRule="exact"/>
      </w:pPr>
      <w:r>
        <w:rPr>
          <w:rFonts w:ascii="游ゴシック" w:cs="游ゴシック" w:eastAsia="游ゴシック" w:hAnsi="游ゴシック"/>
          <w:b/>
          <w:bCs/>
          <w:color w:val="2E75B6"/>
          <w:sz w:val="22"/>
          <w:szCs w:val="22"/>
        </w:rPr>
        <w:t xml:space="preserve">性・年齢調整済み認定率</w:t>
      </w:r>
    </w:p>
    <w:p>
      <w:pPr>
        <w:spacing w:after="120" w:line="300" w:lineRule="exact"/>
      </w:pPr>
      <w:r>
        <w:rPr>
          <w:rFonts w:ascii="游ゴシック" w:cs="游ゴシック" w:eastAsia="游ゴシック" w:hAnsi="游ゴシック"/>
          <w:sz w:val="21"/>
          <w:szCs w:val="21"/>
        </w:rPr>
        <w:t xml:space="preserve">認定率は、高齢化が進むだけでも上がります。本村のように高齢化率が県平均を6.3ポイント上回る地域では、認定率の高さがどこまで年齢構成によるものかを分けて見る必要があります。全国の人口構成に合わせて年齢構成の違いを取り除いた認定率を、性・年齢調整済み認定率といいます。国の評価指標は、この調整済みの認定率により自立支援・重度化防止の成果を評価しています。</w:t>
      </w:r>
    </w:p>
    <w:p>
      <w:pPr>
        <w:spacing w:after="120" w:line="300" w:lineRule="exact"/>
      </w:pPr>
      <w:r>
        <w:rPr>
          <w:rFonts w:ascii="游ゴシック" w:cs="游ゴシック" w:eastAsia="游ゴシック" w:hAnsi="游ゴシック"/>
          <w:sz w:val="21"/>
          <w:szCs w:val="21"/>
        </w:rPr>
        <w:t xml:space="preserve">本村の調整済み認定率は、令和2年3月末の19.5%から令和8年3月末の23.0%へ3.5ポイント上昇しました。調整前の認定率の上昇幅3.7ポイント（17.4%→21.1%）とほぼ同じです。認定率の上昇は、高齢化によるものではあ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310"/>
        <w:gridCol w:w="2434"/>
        <w:gridCol w:w="1498"/>
        <w:gridCol w:w="168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軽度（要支援1〜要介護2）</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要介護2以上</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重度（要介護3以上）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令和8年3月末</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令和2年3月末からの増減</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　出典：地域包括ケア「見える化」システム</w:t>
      </w:r>
    </w:p>
    <w:p>
      <w:pPr>
        <w:spacing w:after="120" w:line="300" w:lineRule="exact"/>
      </w:pPr>
      <w:r>
        <w:rPr>
          <w:rFonts w:ascii="游ゴシック" w:cs="游ゴシック" w:eastAsia="游ゴシック" w:hAnsi="游ゴシック"/>
          <w:sz w:val="21"/>
          <w:szCs w:val="21"/>
        </w:rPr>
        <w:t xml:space="preserve">区分別に見ると、上昇は軽度の層に集中しています。軽度（要支援1から要介護2まで）は12.8%から16.5%へ3.7ポイント上昇した一方、重度（要介護3以上）は6.7%から6.6%へほぼ横ばいです。国の評価指標の成果指標である要介護2以上の認定率は、10.4%から9.0%へ1.4ポイント低下しました。</w:t>
      </w:r>
    </w:p>
    <w:p>
      <w:pPr>
        <w:spacing w:after="120" w:line="300" w:lineRule="exact"/>
      </w:pPr>
      <w:r>
        <w:rPr>
          <w:rFonts w:ascii="游ゴシック" w:cs="游ゴシック" w:eastAsia="游ゴシック" w:hAnsi="游ゴシック"/>
          <w:sz w:val="21"/>
          <w:szCs w:val="21"/>
        </w:rPr>
        <w:t xml:space="preserve">重度化は進んでいません。進んでいるのは軽度の認定の増加です。2-3の冒頭で見た要支援1の3倍化と同じことを、年齢構成の影響を取り除いたうえで示しています。第10期の介護予防は、要支援1に至る前の層に向けることが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評価指標が用いる「性・年齢調整済み要介護2以上認定率」は、令和5年度の実績で8.65%です（2-8）。上表の令和6年3月末（＝令和5年度末）の8.7%と一致します。上表は要介護度ごとの調整済み認定率を小数第1位まで足し上げているため、0.05ポイントの差は端数による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調整済み認定率には、注目する地域のみを見る表示と、他地域と比較する表示の2つがあり、同じ本村の値でも異なります（令和6年3月末で22.1%と16.7%）。国の評価指標の8.65%と一致するのは前者であるため、本計画は注目する地域のみの表示を用いています。</w:t>
      </w:r>
    </w:p>
    <w:p>
      <w:pPr>
        <w:keepNext/>
        <w:keepLines/>
        <w:spacing w:after="100" w:line="300" w:lineRule="exact"/>
      </w:pPr>
      <w:r>
        <w:rPr>
          <w:rFonts w:ascii="游ゴシック" w:cs="游ゴシック" w:eastAsia="游ゴシック" w:hAnsi="游ゴシック"/>
          <w:b/>
          <w:bCs/>
          <w:color w:val="2E75B6"/>
          <w:sz w:val="22"/>
          <w:szCs w:val="22"/>
        </w:rPr>
        <w:t xml:space="preserve">年齢階級別の認定率（令和8年3月末）</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246"/>
        <w:gridCol w:w="1872"/>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後期高齢者の認定率は前期高齢者の5.4倍です。2-2で述べたとおり後期高齢者の割合が高まるため、第1号被保険者数が減少しても、認定者数は増加していく見通しです。</w:t>
      </w:r>
    </w:p>
    <w:p>
      <w:pPr>
        <w:keepNext/>
        <w:keepLines/>
        <w:spacing w:after="100" w:line="300" w:lineRule="exact"/>
      </w:pPr>
      <w:r>
        <w:rPr>
          <w:rFonts w:ascii="游ゴシック" w:cs="游ゴシック" w:eastAsia="游ゴシック" w:hAnsi="游ゴシック"/>
          <w:b/>
          <w:bCs/>
          <w:color w:val="2E75B6"/>
          <w:sz w:val="22"/>
          <w:szCs w:val="22"/>
        </w:rPr>
        <w:t xml:space="preserve">認知症高齢者の状況</w:t>
      </w:r>
    </w:p>
    <w:p>
      <w:pPr>
        <w:spacing w:after="120" w:line="300" w:lineRule="exact"/>
      </w:pPr>
      <w:r>
        <w:rPr>
          <w:rFonts w:ascii="游ゴシック" w:cs="游ゴシック" w:eastAsia="游ゴシック" w:hAnsi="游ゴシック"/>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591"/>
        <w:gridCol w:w="1591"/>
        <w:gridCol w:w="1591"/>
        <w:gridCol w:w="1591"/>
        <w:gridCol w:w="1498"/>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令和6年10月末</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lineRule="exact"/>
      </w:pPr>
      <w:r>
        <w:rPr>
          <w:rFonts w:ascii="游ゴシック" w:cs="游ゴシック" w:eastAsia="游ゴシック" w:hAnsi="游ゴシック"/>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介護サービスの利用状況</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図2-10　第1号被保険者1人1月あたり費用額（村・福島県・全国）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31242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図2-11　サービス区分別 費用額の推移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図2-12　在宅・施設居住系別 第1号被保険者1人1月あたり給付月額</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32670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図2-13　サービス区分別 1人1月あたり給付月額の変化（平成29年度→令和7年度）</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図2-14　受給率の内訳（在宅・居住系・施設別）</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県との差</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＋1,157</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▲4,385</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▲2,863</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1人1月あたりの費用額の順位は県内59保険者中45番目、全国1,574保険者中1,152番目です（令和8年3月末時点）。</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059"/>
        <w:gridCol w:w="2059"/>
        <w:gridCol w:w="1872"/>
        <w:gridCol w:w="1498"/>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298,511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269,884</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286,719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306,567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★サービス区分別に見た変化</w:t>
      </w:r>
    </w:p>
    <w:p>
      <w:pPr>
        <w:spacing w:after="120" w:line="300" w:lineRule="exact"/>
      </w:pPr>
      <w:r>
        <w:rPr>
          <w:rFonts w:ascii="游ゴシック" w:cs="游ゴシック" w:eastAsia="游ゴシック" w:hAnsi="游ゴシック"/>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404"/>
        <w:gridCol w:w="1404"/>
        <w:gridCol w:w="1217"/>
        <w:gridCol w:w="1310"/>
        <w:gridCol w:w="1779"/>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単位：円　全体では2.1%の減少にとどまりますが、区分ごとの動きは大きく異なります。</w:t>
      </w:r>
    </w:p>
    <w:p>
      <w:pPr>
        <w:spacing w:after="120" w:line="300" w:lineRule="exact"/>
      </w:pPr>
      <w:r>
        <w:rPr>
          <w:rFonts w:ascii="游ゴシック" w:cs="游ゴシック" w:eastAsia="游ゴシック" w:hAnsi="游ゴシック"/>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lineRule="exact"/>
      </w:pPr>
      <w:r>
        <w:rPr>
          <w:rFonts w:ascii="游ゴシック" w:cs="游ゴシック" w:eastAsia="游ゴシック" w:hAnsi="游ゴシック"/>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lineRule="exact"/>
      </w:pPr>
      <w:r>
        <w:rPr>
          <w:rFonts w:ascii="游ゴシック" w:cs="游ゴシック" w:eastAsia="游ゴシック" w:hAnsi="游ゴシック"/>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サービス供給体制の状況</w:t>
      </w:r>
    </w:p>
    <w:p>
      <w:pPr>
        <w:keepNext/>
        <w:keepLines/>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956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図2-15　要支援・要介護者1人あたり定員の推移</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133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図2-16　事業所数からみた供給体制の位置（偏差値）</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村内で提供されている介護サービスは、訪問介護、通所介護（定員50人）、認知症対応型共同生活介護（定員27人）の3種類です。定員が定められているのは通所介護と認知症対応型共同生活介護で、訪問介護には定員がありません。ほかに居宅介護支援と介護予防支援の事業所がありま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2059"/>
        <w:gridCol w:w="1872"/>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1人あたり定員（通所系）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0.273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0.287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keepNext/>
        <w:keepLines/>
        <w:spacing w:after="100" w:line="300" w:lineRule="exact"/>
      </w:pPr>
      <w:r>
        <w:rPr>
          <w:rFonts w:ascii="游ゴシック" w:cs="游ゴシック" w:eastAsia="游ゴシック" w:hAnsi="游ゴシック"/>
          <w:b/>
          <w:bCs/>
          <w:color w:val="2E75B6"/>
          <w:sz w:val="22"/>
          <w:szCs w:val="22"/>
        </w:rPr>
        <w:t xml:space="preserve">村内に所在する事業所の数</w:t>
      </w:r>
    </w:p>
    <w:p>
      <w:pPr>
        <w:spacing w:after="120" w:line="300" w:lineRule="exact"/>
      </w:pPr>
      <w:r>
        <w:rPr>
          <w:rFonts w:ascii="游ゴシック" w:cs="游ゴシック" w:eastAsia="游ゴシック" w:hAnsi="游ゴシック"/>
          <w:sz w:val="21"/>
          <w:szCs w:val="21"/>
        </w:rPr>
        <w:t xml:space="preserve">村内に所在する介護サービス事業所は、次のとおりです。施設サービス（介護老人福祉施設・介護老人保健施設・介護医療院）および短期入所は村内になく、必要とする方は村外の事業所を利用しています。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介護予防支援</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居宅介護支援事業所が令和5年度に1か所から2か所に増えています。次に示す偏差値で居宅介護支援の位置が令和7年に大きく上昇しているのは、この増加によるものです。</w:t>
      </w:r>
    </w:p>
    <w:p>
      <w:pPr>
        <w:keepNext/>
        <w:keepLines/>
        <w:spacing w:after="100" w:line="300" w:lineRule="exact"/>
      </w:pPr>
      <w:r>
        <w:rPr>
          <w:rFonts w:ascii="游ゴシック" w:cs="游ゴシック" w:eastAsia="游ゴシック" w:hAnsi="游ゴシック"/>
          <w:b/>
          <w:bCs/>
          <w:color w:val="2E75B6"/>
          <w:sz w:val="22"/>
          <w:szCs w:val="22"/>
        </w:rPr>
        <w:t xml:space="preserve">事業所数からみた供給体制の位置</w:t>
      </w:r>
    </w:p>
    <w:p>
      <w:pPr>
        <w:spacing w:after="120" w:line="300" w:lineRule="exact"/>
      </w:pPr>
      <w:r>
        <w:rPr>
          <w:rFonts w:ascii="游ゴシック" w:cs="游ゴシック" w:eastAsia="游ゴシック" w:hAnsi="游ゴシック"/>
          <w:sz w:val="21"/>
          <w:szCs w:val="21"/>
        </w:rPr>
        <w:t xml:space="preserve">定員に加えて、事業所の数から供給体制の位置を確認します。「見える化」システムのサービス提供体制（供給）の指標は、人口10万人あたりの事業所数を全国の市町村の中での偏差値で示しています。偏差値50が全国の平均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1123"/>
        <w:gridCol w:w="355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令和元年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居宅（福祉系）サービス事業所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全国平均をやや上回り、緩やかに上昇しています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居宅（医療系）サービス事業所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全国平均を大きく下回ります。実数は3時点すべて0であり、訪問看護・訪問リハビリテーション等の医療系の事業所が村内にありません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居宅介護支援事業所</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令和7年に大きく上昇しました</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医療系の事業所が村内に存在しないことは、施策4-3（在宅医療・介護連携の推進）が村外の医療機関・事業所との連携を前提にせざるを得ないことを意味します。一方で居宅介護支援の位置が令和7年に上昇したことは、ケアプランの作成体制については村内で一定の確保ができていることを示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偏差値です。同じ指標には人口10万人あたりの実数も収録されていますが、本村の人口規模から逆算すると事業所1か所に相当する値と合わないため、実数の分母が総人口か第1号被保険者数かを確認するまで掲げません。偏差値は全国の市町村の中での位置を示すものであり、分母の取り方によらず比較できます。</w:t>
      </w:r>
    </w:p>
    <w:p>
      <w:pPr>
        <w:keepNext/>
        <w:keepLines/>
        <w:spacing w:after="100" w:line="300" w:lineRule="exact"/>
      </w:pPr>
      <w:r>
        <w:rPr>
          <w:rFonts w:ascii="游ゴシック" w:cs="游ゴシック" w:eastAsia="游ゴシック" w:hAnsi="游ゴシック"/>
          <w:b/>
          <w:bCs/>
          <w:color w:val="2E75B6"/>
          <w:sz w:val="22"/>
          <w:szCs w:val="22"/>
        </w:rPr>
        <w:t xml:space="preserve">医療と介護の連携の状況（加算の算定状況）</w:t>
      </w:r>
    </w:p>
    <w:p>
      <w:pPr>
        <w:spacing w:after="120" w:line="300" w:lineRule="exact"/>
      </w:pPr>
      <w:r>
        <w:rPr>
          <w:rFonts w:ascii="游ゴシック" w:cs="游ゴシック" w:eastAsia="游ゴシック" w:hAnsi="游ゴシック"/>
          <w:sz w:val="21"/>
          <w:szCs w:val="21"/>
        </w:rPr>
        <w:t xml:space="preserve">医療と介護の連携がどこまで実際に行われているかは、連携に対して算定される加算の算定率により測ることができます。「見える化」システムの地域分析（医療介護連携）は、本村の算定率と、全国の市町村の中での位置を偏差値で示しています。令和7年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123"/>
        <w:gridCol w:w="1498"/>
        <w:gridCol w:w="355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加算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算定率</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偏差値（全国平均50）</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入院時情報連携加算・退院退所加算（居宅介護支援）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入退院時の情報連携が少ない。全国平均を下回る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協力医療機関連携加算（施設・居住系）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53.58</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村内の認知症対応型共同生活介護で算定されている。全国平均を上回る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看取り介護加算・ターミナルケア加算（施設・居住系）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算定がない。村内で看取りに至る体制がない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認知症（専門ケア）加算（通所系・多機能系・施設居住系）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41.89</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算定がない。認知症ケアの専門性に対する評価を得ていない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緊急時訪問看護加算（訪問看護）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村内に訪問看護事業所がないため値がない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出典：地域包括ケア「見える化」システム　地域分析（医療介護連携）令和7年</w:t>
      </w:r>
    </w:p>
    <w:p>
      <w:pPr>
        <w:keepNext/>
        <w:keepLines/>
        <w:spacing w:after="60" w:before="160"/>
        <w:jc w:val="center"/>
      </w:pPr>
      <w:r>
        <w:drawing>
          <wp:inline distT="0" distB="0" distL="0" distR="0">
            <wp:extent cx="5762625"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7241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図2-17　医療と介護の連携に関する加算の算定率と全国の中での位置</w:t>
      </w:r>
    </w:p>
    <w:p>
      <w:pPr>
        <w:spacing w:after="200"/>
        <w:jc w:val="center"/>
      </w:pPr>
      <w:r>
        <w:rPr>
          <w:rFonts w:ascii="游ゴシック" w:cs="游ゴシック" w:eastAsia="游ゴシック" w:hAnsi="游ゴシック"/>
          <w:color w:val="595959"/>
          <w:sz w:val="16"/>
          <w:szCs w:val="16"/>
        </w:rPr>
        <w:t xml:space="preserve">出典：地域包括ケア「見える化」システム　地域分析（医療介護連携）</w:t>
      </w:r>
    </w:p>
    <w:p>
      <w:pPr>
        <w:spacing w:after="120" w:line="300" w:lineRule="exact"/>
      </w:pPr>
      <w:r>
        <w:rPr>
          <w:rFonts w:ascii="游ゴシック" w:cs="游ゴシック" w:eastAsia="游ゴシック" w:hAnsi="游ゴシック"/>
          <w:sz w:val="21"/>
          <w:szCs w:val="21"/>
        </w:rPr>
        <w:t xml:space="preserve">連携が成立しているのは、村内にある認知症対応型共同生活介護と医療機関との間（協力医療機関連携加算50.0%・偏差値53.58）に限られます。居宅介護支援における入退院時の情報連携は1.88%にとどまり、看取りと認知症の専門ケアはいずれも算定がありません。村内に医療系の事業所がないことが、連携の実態にそのまま表れています。施策4-3はこの状況を前提に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同じ地域分析には「在宅死亡者数（自宅）」も収録されており、本村の偏差値は33.68と全国平均を大きく下回ります。ただし値は36.74で単位が「人」とされており、本村の年間死亡数に照らすと実数とは考えられません。割合か人口あたりの率とみられますが定義が確かめられていないため、本計画では偏差値のみを用い、実数は掲げません。基本指針の別表「事項三 死亡場所別の死亡数」への対応は、この定義を確かめたうえで改めます（資6）。</w:t>
      </w:r>
    </w:p>
    <w:p>
      <w:pPr>
        <w:keepNext/>
        <w:keepLines/>
        <w:spacing w:after="100" w:line="300" w:lineRule="exact"/>
      </w:pPr>
      <w:r>
        <w:rPr>
          <w:rFonts w:ascii="游ゴシック" w:cs="游ゴシック" w:eastAsia="游ゴシック" w:hAnsi="游ゴシック"/>
          <w:b/>
          <w:bCs/>
          <w:color w:val="2E75B6"/>
          <w:sz w:val="22"/>
          <w:szCs w:val="22"/>
        </w:rPr>
        <w:t xml:space="preserve">村外サービスの利用状況</w:t>
      </w:r>
    </w:p>
    <w:p>
      <w:pPr>
        <w:spacing w:after="120" w:line="300" w:lineRule="exact"/>
      </w:pPr>
      <w:r>
        <w:rPr>
          <w:rFonts w:ascii="游ゴシック" w:cs="游ゴシック" w:eastAsia="游ゴシック" w:hAnsi="游ゴシック"/>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498"/>
        <w:gridCol w:w="1498"/>
        <w:gridCol w:w="1498"/>
        <w:gridCol w:w="1498"/>
        <w:gridCol w:w="130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lineRule="exact"/>
      </w:pPr>
      <w:r>
        <w:rPr>
          <w:rFonts w:ascii="游ゴシック" w:cs="游ゴシック" w:eastAsia="游ゴシック" w:hAnsi="游ゴシック"/>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8年度に26人／月で村内定員27人の96.3%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lineRule="exact"/>
      </w:pPr>
      <w:r>
        <w:rPr>
          <w:rFonts w:ascii="游ゴシック" w:cs="游ゴシック" w:eastAsia="游ゴシック" w:hAnsi="游ゴシック"/>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廃止</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供給の継続性を把握する手だて</w:t>
      </w:r>
    </w:p>
    <w:p>
      <w:pPr>
        <w:spacing w:after="120" w:line="300" w:lineRule="exact"/>
      </w:pPr>
      <w:r>
        <w:rPr>
          <w:rFonts w:ascii="游ゴシック" w:cs="游ゴシック" w:eastAsia="游ゴシック" w:hAnsi="游ゴシック"/>
          <w:sz w:val="21"/>
          <w:szCs w:val="21"/>
        </w:rPr>
        <w:t xml:space="preserve">本村の供給は、村内の3種類の事業所と、村外の事業所の双方に依存しています。村内の事業所については村が直接把握できますが、給付費の58.7%を占める村外の事業所については、経営の状況を把握する手だてがありませんでした。利用している事業所が事業を続けられるかどうかは、本村の供給の確保に直接関わります。</w:t>
      </w:r>
    </w:p>
    <w:p>
      <w:pPr>
        <w:spacing w:after="120" w:line="300" w:lineRule="exact"/>
      </w:pPr>
      <w:r>
        <w:rPr>
          <w:rFonts w:ascii="游ゴシック" w:cs="游ゴシック" w:eastAsia="游ゴシック" w:hAnsi="游ゴシック"/>
          <w:sz w:val="21"/>
          <w:szCs w:val="21"/>
        </w:rPr>
        <w:t xml:space="preserve">令和6年4月から、介護サービス事業者経営情報データベース（介護経営DB）の制度が始まっています。原則としてすべての介護サービス事業者が、毎会計年度終了後3か月以内に収益・費用および職種別の人員数を都道府県知事に報告し、国において属性等に応じて区分した分析結果が公表される仕組みです。悉皆調査であり、3年に1度の介護事業経営実態調査（層化無作為抽出）を補完するものとされ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根拠</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介護保険法第115条の44の2。施行は令和6年4月1日</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報告の対象</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原則としてすべての介護サービス事業者。ただし事業所・施設のすべてが、過去1年間の介護サービスの対価の収入が100万円以下であるものは報告の対象から除かれます</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報告の内容</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事業所・施設の基本情報、収益および費用の内容、職員の職種別人員数。任意項目として職種別の給与</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国民に分かりやすくなるよう属性等に応じて区分した分析結果</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現在の状況</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の改修のため令和7年4月から報告の受付を停止しており、令和8年10月から再開されます。初年度・2年度目の報告分の分析の結果は、令和9年4月以降に社会保障審議会介護保険部会に報告される予定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出典：第136回社会保障審議会介護保険部会（令和8年9月18日）資料4「介護サービス事業者経営情報の調査及び分析等について」</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計画は介護経営DBの分析結果を用いていません。報告の受付が令和8年10月に再開される段階であり、分析の結果が示されるのは令和9年4月以降とされているためです。また、複数のサービスをまとめた報告や法人単位の報告が全報告の64.0%を占め、サービスごとに按分する処理の精度に課題があるとされています。村の区域を単位とする値が得られるかも示されていません。したがって本計画では、介護経営DBを施策の指標（KPI）には用いず、村外を含む供給の継続性を把握する情報源として位置づけます（施策4-6）。公表された分析結果のうち本村に用いられる範囲を確認したうえで、中間年の見直し（6-5）の材料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2-6　地域支援事業・介護予防の状況</w:t>
      </w:r>
    </w:p>
    <w:p>
      <w:pPr>
        <w:keepNext/>
        <w:keepLines/>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861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図2-18　地域支援事業費の推移（内訳別）</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8575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図2-19　住民主体の通いの場の状況（令和6年度）</w:t>
      </w:r>
    </w:p>
    <w:p>
      <w:pPr>
        <w:spacing w:after="200"/>
        <w:jc w:val="center"/>
      </w:pPr>
      <w:r>
        <w:rPr>
          <w:rFonts w:ascii="游ゴシック" w:cs="游ゴシック" w:eastAsia="游ゴシック" w:hAnsi="游ゴシック"/>
          <w:color w:val="595959"/>
          <w:sz w:val="16"/>
          <w:szCs w:val="16"/>
        </w:rPr>
        <w:t xml:space="preserve">出典：厚生労働省「介護予防・日常生活支援総合事業（地域支援事業）の実施状況に関する調査」</w:t>
      </w:r>
    </w:p>
    <w:p>
      <w:pPr>
        <w:spacing w:after="120" w:line="300" w:lineRule="exact"/>
      </w:pPr>
      <w:r>
        <w:rPr>
          <w:rFonts w:ascii="游ゴシック" w:cs="游ゴシック" w:eastAsia="游ゴシック" w:hAnsi="游ゴシック"/>
          <w:sz w:val="21"/>
          <w:szCs w:val="21"/>
        </w:rPr>
        <w:t xml:space="preserve">介護予防・日常生活支援総合事業のうち、訪問型サービスA・B・C・D、通所型サービスA・B・C、見守り、配食といった多様な主体によるサービスは、直近の決算である令和5年度において事業費が計上されていません。従前相当サービス以外の事業費が総合事業に占める割合は0.0%です。令和6年度・令和7年度の決算の提供を受けた時点で、実施の状況を改めて確認します。</w:t>
      </w:r>
    </w:p>
    <w:p>
      <w:pPr>
        <w:spacing w:after="120" w:line="300" w:lineRule="exact"/>
      </w:pPr>
      <w:r>
        <w:rPr>
          <w:rFonts w:ascii="游ゴシック" w:cs="游ゴシック" w:eastAsia="游ゴシック" w:hAnsi="游ゴシック"/>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872"/>
        <w:gridCol w:w="2434"/>
        <w:gridCol w:w="2059"/>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28,727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35,671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※平成29年度の合計にはその他の事業費を含みます。</w:t>
      </w:r>
    </w:p>
    <w:p>
      <w:pPr>
        <w:spacing w:after="120" w:line="300" w:lineRule="exact"/>
      </w:pPr>
      <w:r>
        <w:rPr>
          <w:rFonts w:ascii="游ゴシック" w:cs="游ゴシック" w:eastAsia="游ゴシック" w:hAnsi="游ゴシック"/>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lineRule="exact"/>
      </w:pPr>
      <w:r>
        <w:rPr>
          <w:rFonts w:ascii="游ゴシック" w:cs="游ゴシック" w:eastAsia="游ゴシック" w:hAnsi="游ゴシック"/>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lineRule="exact"/>
      </w:pPr>
      <w:r>
        <w:rPr>
          <w:rFonts w:ascii="游ゴシック" w:cs="游ゴシック" w:eastAsia="游ゴシック" w:hAnsi="游ゴシック"/>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lineRule="exact"/>
      </w:pPr>
      <w:r>
        <w:rPr>
          <w:rFonts w:ascii="游ゴシック" w:cs="游ゴシック" w:eastAsia="游ゴシック" w:hAnsi="游ゴシック"/>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通いの場の箇所数・参加者数は、厚生労働省「介護予防・日常生活支援総合事業（地域支援事業）の実施状況に関する調査」の令和6年度の値によります。地域包括ケア「見える化」システムにも同じ指標が収録されていますが、本村の値は令和元年度で更新が止まっており、かつ平成30年度21か所・306人から令和元年度2か所・17人へ大きく動くなど報告の連続性を欠いています。「見える化」の値と見比べる際はご留意ください。</w:t>
      </w:r>
    </w:p>
    <w:p>
      <w:pPr>
        <w:keepNext/>
        <w:keepLines/>
        <w:spacing w:after="100" w:line="300" w:lineRule="exact"/>
      </w:pPr>
      <w:r>
        <w:rPr>
          <w:rFonts w:ascii="游ゴシック" w:cs="游ゴシック" w:eastAsia="游ゴシック" w:hAnsi="游ゴシック"/>
          <w:b/>
          <w:bCs/>
          <w:color w:val="2E75B6"/>
          <w:sz w:val="22"/>
          <w:szCs w:val="22"/>
        </w:rPr>
        <w:t xml:space="preserve">地域包括支援センター</w:t>
      </w:r>
    </w:p>
    <w:p>
      <w:pPr>
        <w:spacing w:after="120" w:line="300" w:lineRule="exact"/>
      </w:pPr>
      <w:r>
        <w:rPr>
          <w:rFonts w:ascii="游ゴシック" w:cs="游ゴシック" w:eastAsia="游ゴシック" w:hAnsi="游ゴシック"/>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lineRule="exact"/>
      </w:pPr>
      <w:r>
        <w:rPr>
          <w:rFonts w:ascii="游ゴシック" w:cs="游ゴシック" w:eastAsia="游ゴシック" w:hAnsi="游ゴシック"/>
          <w:sz w:val="21"/>
          <w:szCs w:val="21"/>
        </w:rPr>
        <w:t xml:space="preserve">地域ケア会議は、地域ケア個別会議を年3回、地域ケア推進会議を年3回の計6回開催しています。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2-7　介護保険財政の状況</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図2-20　保険給付費・地域支援事業費・保険料収入の推移</w:t>
      </w:r>
    </w:p>
    <w:p>
      <w:pPr>
        <w:spacing w:after="200"/>
        <w:jc w:val="center"/>
      </w:pPr>
      <w:r>
        <w:rPr>
          <w:rFonts w:ascii="游ゴシック" w:cs="游ゴシック" w:eastAsia="游ゴシック" w:hAnsi="游ゴシック"/>
          <w:color w:val="595959"/>
          <w:sz w:val="16"/>
          <w:szCs w:val="16"/>
        </w:rPr>
        <w:t xml:space="preserve">出典：介護保険特別会計決算</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図2-21　介護保険料基準額の推移（村・福島県・全国）</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keepNext/>
        <w:keepLines/>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62625" cy="30575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図2-22　保険料基準額と必要保険料額の対比</w:t>
      </w:r>
    </w:p>
    <w:p>
      <w:pPr>
        <w:spacing w:after="200"/>
        <w:jc w:val="center"/>
      </w:pPr>
      <w:r>
        <w:rPr>
          <w:rFonts w:ascii="游ゴシック" w:cs="游ゴシック" w:eastAsia="游ゴシック" w:hAnsi="游ゴシック"/>
          <w:color w:val="595959"/>
          <w:sz w:val="16"/>
          <w:szCs w:val="16"/>
        </w:rPr>
        <w:t xml:space="preserve">出典：地域包括ケア「見える化」システム</w:t>
      </w:r>
    </w:p>
    <w:p>
      <w:pPr>
        <w:spacing w:after="120" w:line="300" w:lineRule="exact"/>
      </w:pPr>
      <w:r>
        <w:rPr>
          <w:rFonts w:ascii="游ゴシック" w:cs="游ゴシック" w:eastAsia="游ゴシック" w:hAnsi="游ゴシック"/>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倍率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2.56倍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1.42倍</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0.67倍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keepNext/>
        <w:keepLines/>
        <w:spacing w:after="100" w:line="300" w:lineRule="exact"/>
      </w:pPr>
      <w:r>
        <w:rPr>
          <w:rFonts w:ascii="游ゴシック" w:cs="游ゴシック" w:eastAsia="游ゴシック" w:hAnsi="游ゴシック"/>
          <w:b/>
          <w:bCs/>
          <w:color w:val="2E75B6"/>
          <w:sz w:val="22"/>
          <w:szCs w:val="22"/>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45番目と低い水準にあります。この状況については、第5章で改めて整理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編集注記：介護給付費準備基金の残高の推移は、村から令和6年度末実績・令和7年度末見込の提供を受けたうえで記載します。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2-8　保険者機能の評価</w:t>
      </w:r>
    </w:p>
    <w:p>
      <w:pPr>
        <w:keepNext/>
        <w:keepLines/>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62625" cy="29718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図2-23　交付金 目標別得点と全国平均の対比（令和8年度）</w:t>
      </w:r>
    </w:p>
    <w:p>
      <w:pPr>
        <w:spacing w:after="200"/>
        <w:jc w:val="center"/>
      </w:pPr>
      <w:r>
        <w:rPr>
          <w:rFonts w:ascii="游ゴシック" w:cs="游ゴシック" w:eastAsia="游ゴシック" w:hAnsi="游ゴシック"/>
          <w:color w:val="595959"/>
          <w:sz w:val="16"/>
          <w:szCs w:val="16"/>
        </w:rPr>
        <w:t xml:space="preserve">出典：厚生労働省「令和8年度評価指標に係る該当状況調査票集計表」</w:t>
      </w:r>
    </w:p>
    <w:p>
      <w:pPr>
        <w:keepNext/>
        <w:keepLines/>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62625" cy="315277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図2-24　交付金 合計得点の推移（村・福島県平均・全国平均）</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年度は、厚生労働省の該当状況調査票集計表による評価・交付の年度です。地域包括ケア「見える化」システムは同じ評価を取組の年度で呼ぶため、1年前の表示になります（本表の令和6年度＝「見える化」の令和5年度）。両者を見比べるときは年度の呼び方の違いにご留意ください。推進124点・支援171点・合計295点はいずれも一致することを確かめてい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交付金は、推進・支援それぞれに4つの目標があり、いずれも100点満点です。目標別に3か年の推移を見ると、伸びた目標と下がった目標が分かれます。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123"/>
        <w:gridCol w:w="1123"/>
        <w:gridCol w:w="1123"/>
        <w:gridCol w:w="1685"/>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持続可能な地域のあるべき姿をかたちにする）で、令和6年度の17点から令和8年度の76点へ59点伸びました。計画の進捗管理や評価結果の活用に関する項目を取得したことによります。支援の目標Ⅰ（介護予防／日常生活支援）も27点から71点へ44点伸びています。</w:t>
      </w:r>
    </w:p>
    <w:p>
      <w:pPr>
        <w:spacing w:after="120" w:line="300" w:lineRule="exact"/>
      </w:pPr>
      <w:r>
        <w:rPr>
          <w:rFonts w:ascii="游ゴシック" w:cs="游ゴシック" w:eastAsia="游ゴシック" w:hAnsi="游ゴシック"/>
          <w:sz w:val="21"/>
          <w:szCs w:val="21"/>
        </w:rPr>
        <w:t xml:space="preserve">一方、推進・支援に共通する目標Ⅳ（高齢者が可能な限り自立した日常生活を営む）は、令和7年度の70点から令和8年度の45点へ25点下がりました。目標Ⅳは成果指標群であり、取組の有無ではなく要介護度の変化や認定率の実績によって決まります（6-3）。支援の目標Ⅱ（認知症総合支援）も令和6年度の40点から令和8年度の32点へ8点下がっており、2-8の後段で述べるとおり本村固有の弱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目標別の得点は、該当状況調査票集計表の集計された行（配点100点）によります。同じ表に明細の列も収められているため、明細と集計を足し合わせると二重になります。各目標の得点を合計すると、推進124・155・229点、支援171・184・218点となり、上表の交付金別の得点と一致します。令和6年度の目標別の得点は「見える化」システム（同システムの令和5年度）とも一致することを確かめ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lineRule="exact"/>
      </w:pPr>
      <w:r>
        <w:rPr>
          <w:rFonts w:ascii="游ゴシック" w:cs="游ゴシック" w:eastAsia="游ゴシック" w:hAnsi="游ゴシック"/>
          <w:sz w:val="21"/>
          <w:szCs w:val="21"/>
        </w:rPr>
        <w:t xml:space="preserve">3か年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得点が伸びた項目</w:t>
      </w:r>
    </w:p>
    <w:p>
      <w:pPr>
        <w:spacing w:after="120" w:line="300" w:lineRule="exact"/>
      </w:pPr>
      <w:r>
        <w:rPr>
          <w:rFonts w:ascii="游ゴシック" w:cs="游ゴシック" w:eastAsia="游ゴシック" w:hAnsi="游ゴシック"/>
          <w:sz w:val="21"/>
          <w:szCs w:val="21"/>
        </w:rPr>
        <w:t xml:space="preserve">3か年で152点増えた内訳を見ると、伸びは特定の領域に集中しています。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lineRule="exact"/>
      </w:pPr>
      <w:r>
        <w:rPr>
          <w:rFonts w:ascii="游ゴシック" w:cs="游ゴシック" w:eastAsia="游ゴシック" w:hAnsi="游ゴシック"/>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keepNext/>
        <w:keepLines/>
        <w:spacing w:after="100" w:line="300" w:lineRule="exact"/>
      </w:pPr>
      <w:r>
        <w:rPr>
          <w:rFonts w:ascii="游ゴシック" w:cs="游ゴシック" w:eastAsia="游ゴシック" w:hAnsi="游ゴシック"/>
          <w:b/>
          <w:bCs/>
          <w:color w:val="2E75B6"/>
          <w:sz w:val="22"/>
          <w:szCs w:val="22"/>
        </w:rPr>
        <w:t xml:space="preserve">指標群別にみると</w:t>
      </w:r>
    </w:p>
    <w:p>
      <w:pPr>
        <w:spacing w:after="120" w:line="300" w:lineRule="exact"/>
      </w:pPr>
      <w:r>
        <w:rPr>
          <w:rFonts w:ascii="游ゴシック" w:cs="游ゴシック" w:eastAsia="游ゴシック" w:hAnsi="游ゴシック"/>
          <w:sz w:val="21"/>
          <w:szCs w:val="21"/>
        </w:rPr>
        <w:t xml:space="preserve">評価指標は、体制の整備を評価する「取組・体制指標群」、実際の活動量を評価する「活動指標群」、要介護度の変化等の結果を評価する「成果指標群」の3つに分かれます。令和6年度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434"/>
        <w:gridCol w:w="2621"/>
        <w:gridCol w:w="168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保険者機能強化推進交付金</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介護保険保険者努力支援交付金</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取組・体制指標群と成果指標群では一定の得点を得ている一方、活動指標群は38点にとどまります。会議体や計画などの体制は整っているものの、そこから生まれる活動の量が十分でないことを示しています。施策の重点を、体制の整備から活動量の確保へ移す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指標群別の内訳は地域包括ケア「見える化」システム（同システムの令和5年度。本表の令和6年度に当たります）によります。令和7年度・令和8年度の指標群別の内訳は同システムに収録がないため、本表は令和6年度のみを示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3か年の推移の全体像</w:t>
      </w:r>
    </w:p>
    <w:p>
      <w:pPr>
        <w:spacing w:after="120" w:line="300" w:lineRule="exact"/>
      </w:pPr>
      <w:r>
        <w:rPr>
          <w:rFonts w:ascii="游ゴシック" w:cs="游ゴシック" w:eastAsia="游ゴシック" w:hAnsi="游ゴシック"/>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lineRule="exact"/>
      </w:pPr>
      <w:r>
        <w:rPr>
          <w:rFonts w:ascii="游ゴシック" w:cs="游ゴシック" w:eastAsia="游ゴシック" w:hAnsi="游ゴシック"/>
          <w:sz w:val="21"/>
          <w:szCs w:val="21"/>
        </w:rPr>
        <w:t xml:space="preserve">満点を3か年維持しているのは50項目146点です。配点の大きいものは給付費適正化方策の策定（ア・イ各8点）と在宅医療・介護連携（支援目標Ⅲの9項目32点）で、本村の強みにあたります。</w:t>
      </w:r>
    </w:p>
    <w:p>
      <w:pPr>
        <w:keepNext/>
        <w:keepLines/>
        <w:spacing w:after="100" w:line="300" w:lineRule="exact"/>
      </w:pPr>
      <w:r>
        <w:rPr>
          <w:rFonts w:ascii="游ゴシック" w:cs="游ゴシック" w:eastAsia="游ゴシック" w:hAnsi="游ゴシック"/>
          <w:b/>
          <w:bCs/>
          <w:color w:val="2E75B6"/>
          <w:sz w:val="22"/>
          <w:szCs w:val="22"/>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936"/>
        <w:gridCol w:w="1498"/>
        <w:gridCol w:w="1498"/>
        <w:gridCol w:w="149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lineRule="exact"/>
      </w:pPr>
      <w:r>
        <w:rPr>
          <w:rFonts w:ascii="游ゴシック" w:cs="游ゴシック" w:eastAsia="游ゴシック" w:hAnsi="游ゴシック"/>
          <w:sz w:val="21"/>
          <w:szCs w:val="21"/>
        </w:rPr>
        <w:t xml:space="preserve">悪化した23項目115点の内訳を分けると、18項目93点は成果指標群（要介護度の変化・健康寿命）です。これらは国の統計から自動的に算定されるため、村の取組の後退を示すものではありません。村の取組として後退したのは次の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744"/>
        <w:gridCol w:w="936"/>
        <w:gridCol w:w="1498"/>
        <w:gridCol w:w="168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給付適正化の主要な事業の実施と記録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支援・目標Ⅰ</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総合事業における従前相当以外のサービスの実施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重いのは「給付適正化の主要な事業の実施と記録」で、全国の96.9%が取得している項目です。本村は令和6年度・令和7年度は取得しており、令和8年度に落としました。福祉用具購入費・住宅改修費の妥当性の検討（65.1%）、在宅医療・介護連携の4つの場面ごとの目指すべき姿の設定（72.3%）、相談内容の取りまとめと関係者間での共有（85.9%）も同様です。取組が止まったのか、国への該当状況調査票の記載によるものかを確認する必要があります。取組が止まったのであれば、令和9年度の評価で取り戻せます。</w:t>
      </w:r>
    </w:p>
    <w:p>
      <w:pPr>
        <w:keepNext/>
        <w:keepLines/>
        <w:spacing w:after="100" w:line="300" w:lineRule="exact"/>
      </w:pPr>
      <w:r>
        <w:rPr>
          <w:rFonts w:ascii="游ゴシック" w:cs="游ゴシック" w:eastAsia="游ゴシック" w:hAnsi="游ゴシック"/>
          <w:b/>
          <w:bCs/>
          <w:color w:val="2E75B6"/>
          <w:sz w:val="22"/>
          <w:szCs w:val="22"/>
        </w:rPr>
        <w:t xml:space="preserve">目標別に全国平均と比べると</w:t>
      </w:r>
    </w:p>
    <w:p>
      <w:pPr>
        <w:spacing w:after="120" w:line="300" w:lineRule="exact"/>
      </w:pPr>
      <w:r>
        <w:rPr>
          <w:rFonts w:ascii="游ゴシック" w:cs="游ゴシック" w:eastAsia="游ゴシック" w:hAnsi="游ゴシック"/>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030"/>
        <w:gridCol w:w="1030"/>
        <w:gridCol w:w="1030"/>
        <w:gridCol w:w="1028"/>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県平均・県内順位は福島県内59市町村、全国順位は全国1,741市町村の中での位置です。各目標の配点はいずれも100点です。</w:t>
      </w:r>
    </w:p>
    <w:p>
      <w:pPr>
        <w:spacing w:after="120" w:line="300" w:lineRule="exact"/>
      </w:pPr>
      <w:r>
        <w:rPr>
          <w:rFonts w:ascii="游ゴシック" w:cs="游ゴシック" w:eastAsia="游ゴシック" w:hAnsi="游ゴシック"/>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lineRule="exact"/>
      </w:pPr>
      <w:r>
        <w:rPr>
          <w:rFonts w:ascii="游ゴシック" w:cs="游ゴシック" w:eastAsia="游ゴシック" w:hAnsi="游ゴシック"/>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262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keepNext/>
        <w:keepLines/>
        <w:spacing w:after="100" w:line="300" w:lineRule="exact"/>
      </w:pPr>
      <w:r>
        <w:rPr>
          <w:rFonts w:ascii="游ゴシック" w:cs="游ゴシック" w:eastAsia="游ゴシック" w:hAnsi="游ゴシック"/>
          <w:b/>
          <w:bCs/>
          <w:color w:val="2E75B6"/>
          <w:sz w:val="22"/>
          <w:szCs w:val="22"/>
        </w:rPr>
        <w:t xml:space="preserve">残された課題は2点です</w:t>
      </w:r>
    </w:p>
    <w:p>
      <w:pPr>
        <w:spacing w:after="120" w:line="300" w:lineRule="exact"/>
      </w:pPr>
      <w:r>
        <w:rPr>
          <w:rFonts w:ascii="游ゴシック" w:cs="游ゴシック" w:eastAsia="游ゴシック" w:hAnsi="游ゴシック"/>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680"/>
        <w:gridCol w:w="936"/>
        <w:gridCol w:w="224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成果指標（アウトカム）の状況</w:t>
      </w:r>
    </w:p>
    <w:p>
      <w:pPr>
        <w:spacing w:after="120" w:line="300" w:lineRule="exact"/>
      </w:pPr>
      <w:r>
        <w:rPr>
          <w:rFonts w:ascii="游ゴシック" w:cs="游ゴシック" w:eastAsia="游ゴシック" w:hAnsi="游ゴシック"/>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842"/>
        <w:gridCol w:w="1310"/>
        <w:gridCol w:w="1310"/>
        <w:gridCol w:w="1310"/>
        <w:gridCol w:w="1218"/>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lineRule="exact"/>
      </w:pPr>
      <w:r>
        <w:rPr>
          <w:rFonts w:ascii="游ゴシック" w:cs="游ゴシック" w:eastAsia="游ゴシック" w:hAnsi="游ゴシック"/>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3557"/>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重度化が進行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前年よりさらに悪化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2-9　第9期計画の進捗と評価</w:t>
      </w:r>
    </w:p>
    <w:p>
      <w:pPr>
        <w:spacing w:after="120" w:line="300" w:lineRule="exact"/>
      </w:pPr>
      <w:r>
        <w:rPr>
          <w:rFonts w:ascii="游ゴシック" w:cs="游ゴシック" w:eastAsia="游ゴシック" w:hAnsi="游ゴシック"/>
          <w:sz w:val="21"/>
          <w:szCs w:val="21"/>
        </w:rPr>
        <w:t xml:space="preserve">第9期計画に掲げた数値と実績を比較し、乖離の状況とその要因を検証しました。</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246"/>
        <w:gridCol w:w="2621"/>
        <w:gridCol w:w="2247"/>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＋61人</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keepNext/>
        <w:keepLines/>
        <w:spacing w:after="100" w:line="300" w:lineRule="exact"/>
      </w:pPr>
      <w:r>
        <w:rPr>
          <w:rFonts w:ascii="游ゴシック" w:cs="游ゴシック" w:eastAsia="游ゴシック" w:hAnsi="游ゴシック"/>
          <w:b/>
          <w:bCs/>
          <w:color w:val="2E75B6"/>
          <w:sz w:val="22"/>
          <w:szCs w:val="22"/>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2434"/>
        <w:gridCol w:w="2434"/>
        <w:gridCol w:w="224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令和5年度は見込みを1.4%上回りました。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編集注記：令和6年度決算および令和7年度の給付費見込の提供を受けたうえで、第9期全体の乖離を確定します。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検証から得られた課題</w:t>
      </w:r>
    </w:p>
    <w:p>
      <w:pPr>
        <w:spacing w:after="120" w:line="300" w:lineRule="exact"/>
      </w:pPr>
      <w:r>
        <w:rPr>
          <w:rFonts w:ascii="游ゴシック" w:cs="游ゴシック" w:eastAsia="游ゴシック" w:hAnsi="游ゴシック"/>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2-10　アンケート調査結果</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685"/>
        <w:gridCol w:w="1872"/>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有効回収率</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509人中約140人。在宅介護実態調査でも24.2%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地区差が大きい。大塩地区が最も低い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前回36.7%から低下。裏磐梯地区は20.6%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家族と話したことがある38.3%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2-11　本村の課題</w:t>
      </w:r>
    </w:p>
    <w:p>
      <w:pPr>
        <w:spacing w:after="120" w:line="300" w:lineRule="exact"/>
      </w:pPr>
      <w:r>
        <w:rPr>
          <w:rFonts w:ascii="游ゴシック" w:cs="游ゴシック" w:eastAsia="游ゴシック" w:hAnsi="游ゴシック"/>
          <w:sz w:val="21"/>
          <w:szCs w:val="21"/>
        </w:rPr>
        <w:t xml:space="preserve">これまでの分析から、本村の課題は次の6点に整理されます。</w:t>
      </w:r>
    </w:p>
    <w:p>
      <w:pPr>
        <w:keepNext/>
        <w:keepLines/>
        <w:spacing w:after="100" w:line="300" w:lineRule="exact"/>
      </w:pPr>
      <w:r>
        <w:rPr>
          <w:rFonts w:ascii="游ゴシック" w:cs="游ゴシック" w:eastAsia="游ゴシック" w:hAnsi="游ゴシック"/>
          <w:b/>
          <w:bCs/>
          <w:color w:val="2E75B6"/>
          <w:sz w:val="22"/>
          <w:szCs w:val="22"/>
        </w:rPr>
        <w:t xml:space="preserve">課題1　認定を受けても、利用できるサービスが限られています</w:t>
      </w:r>
    </w:p>
    <w:p>
      <w:pPr>
        <w:spacing w:after="120" w:line="300" w:lineRule="exact"/>
      </w:pPr>
      <w:r>
        <w:rPr>
          <w:rFonts w:ascii="游ゴシック" w:cs="游ゴシック" w:eastAsia="游ゴシック" w:hAnsi="游ゴシック"/>
          <w:sz w:val="21"/>
          <w:szCs w:val="21"/>
        </w:rPr>
        <w:t xml:space="preserve">認定率は県内59保険者中18番目と高い水準にある一方、1人あたりの費用額は45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lineRule="exact"/>
      </w:pPr>
      <w:r>
        <w:rPr>
          <w:rFonts w:ascii="游ゴシック" w:cs="游ゴシック" w:eastAsia="游ゴシック" w:hAnsi="游ゴシック"/>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keepNext/>
        <w:keepLines/>
        <w:spacing w:after="100" w:line="300" w:lineRule="exact"/>
      </w:pPr>
      <w:r>
        <w:rPr>
          <w:rFonts w:ascii="游ゴシック" w:cs="游ゴシック" w:eastAsia="游ゴシック" w:hAnsi="游ゴシック"/>
          <w:b/>
          <w:bCs/>
          <w:color w:val="2E75B6"/>
          <w:sz w:val="22"/>
          <w:szCs w:val="22"/>
        </w:rPr>
        <w:t xml:space="preserve">課題2　軽度の方が急増し、その受け皿が整っていません</w:t>
      </w:r>
    </w:p>
    <w:p>
      <w:pPr>
        <w:spacing w:after="120" w:line="300" w:lineRule="exact"/>
      </w:pPr>
      <w:r>
        <w:rPr>
          <w:rFonts w:ascii="游ゴシック" w:cs="游ゴシック" w:eastAsia="游ゴシック" w:hAnsi="游ゴシック"/>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keepNext/>
        <w:keepLines/>
        <w:spacing w:after="100" w:line="300" w:lineRule="exact"/>
      </w:pPr>
      <w:r>
        <w:rPr>
          <w:rFonts w:ascii="游ゴシック" w:cs="游ゴシック" w:eastAsia="游ゴシック" w:hAnsi="游ゴシック"/>
          <w:b/>
          <w:bCs/>
          <w:color w:val="2E75B6"/>
          <w:sz w:val="22"/>
          <w:szCs w:val="22"/>
        </w:rPr>
        <w:t xml:space="preserve">課題3　計画を評価し改善する仕組みを定着させる必要があります</w:t>
      </w:r>
    </w:p>
    <w:p>
      <w:pPr>
        <w:spacing w:after="120" w:line="300" w:lineRule="exact"/>
      </w:pPr>
      <w:r>
        <w:rPr>
          <w:rFonts w:ascii="游ゴシック" w:cs="游ゴシック" w:eastAsia="游ゴシック" w:hAnsi="游ゴシック"/>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lineRule="exact"/>
      </w:pPr>
      <w:r>
        <w:rPr>
          <w:rFonts w:ascii="游ゴシック" w:cs="游ゴシック" w:eastAsia="游ゴシック" w:hAnsi="游ゴシック"/>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keepNext/>
        <w:keepLines/>
        <w:spacing w:after="100" w:line="300" w:lineRule="exact"/>
      </w:pPr>
      <w:r>
        <w:rPr>
          <w:rFonts w:ascii="游ゴシック" w:cs="游ゴシック" w:eastAsia="游ゴシック" w:hAnsi="游ゴシック"/>
          <w:b/>
          <w:bCs/>
          <w:color w:val="2E75B6"/>
          <w:sz w:val="22"/>
          <w:szCs w:val="22"/>
        </w:rPr>
        <w:t xml:space="preserve">課題4　保険料と給付水準の関係を説明する必要があります</w:t>
      </w:r>
    </w:p>
    <w:p>
      <w:pPr>
        <w:spacing w:after="120" w:line="300" w:lineRule="exact"/>
      </w:pPr>
      <w:r>
        <w:rPr>
          <w:rFonts w:ascii="游ゴシック" w:cs="游ゴシック" w:eastAsia="游ゴシック" w:hAnsi="游ゴシック"/>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keepNext/>
        <w:keepLines/>
        <w:spacing w:after="100" w:line="300" w:lineRule="exact"/>
      </w:pPr>
      <w:r>
        <w:rPr>
          <w:rFonts w:ascii="游ゴシック" w:cs="游ゴシック" w:eastAsia="游ゴシック" w:hAnsi="游ゴシック"/>
          <w:b/>
          <w:bCs/>
          <w:color w:val="2E75B6"/>
          <w:sz w:val="22"/>
          <w:szCs w:val="22"/>
        </w:rPr>
        <w:t xml:space="preserve">課題5　人口構造の転換に備える必要があります</w:t>
      </w:r>
    </w:p>
    <w:p>
      <w:pPr>
        <w:spacing w:after="120" w:line="300" w:lineRule="exact"/>
      </w:pPr>
      <w:r>
        <w:rPr>
          <w:rFonts w:ascii="游ゴシック" w:cs="游ゴシック" w:eastAsia="游ゴシック" w:hAnsi="游ゴシック"/>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keepNext/>
        <w:keepLines/>
        <w:spacing w:after="100" w:line="300" w:lineRule="exact"/>
      </w:pPr>
      <w:r>
        <w:rPr>
          <w:rFonts w:ascii="游ゴシック" w:cs="游ゴシック" w:eastAsia="游ゴシック" w:hAnsi="游ゴシック"/>
          <w:b/>
          <w:bCs/>
          <w:color w:val="2E75B6"/>
          <w:sz w:val="22"/>
          <w:szCs w:val="22"/>
        </w:rPr>
        <w:t xml:space="preserve">課題6　冬期の生活と移動を支える必要があります</w:t>
      </w:r>
    </w:p>
    <w:p>
      <w:pPr>
        <w:spacing w:after="120" w:line="300" w:lineRule="exact"/>
      </w:pPr>
      <w:r>
        <w:rPr>
          <w:rFonts w:ascii="游ゴシック" w:cs="游ゴシック" w:eastAsia="游ゴシック" w:hAnsi="游ゴシック"/>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lineRule="exact"/>
      </w:pPr>
      <w:r>
        <w:rPr>
          <w:rFonts w:ascii="游ゴシック" w:cs="游ゴシック" w:eastAsia="游ゴシック" w:hAnsi="游ゴシック"/>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基本理念</w:t>
      </w:r>
    </w:p>
    <w:p>
      <w:pPr>
        <w:spacing w:after="120" w:line="300" w:lineRule="exact"/>
      </w:pPr>
      <w:r>
        <w:rPr>
          <w:rFonts w:ascii="游ゴシック" w:cs="游ゴシック" w:eastAsia="游ゴシック" w:hAnsi="游ゴシック"/>
          <w:sz w:val="21"/>
          <w:szCs w:val="21"/>
        </w:rPr>
        <w:t xml:space="preserve">本計画は、第9期計画の基本理念を継承します。</w:t>
      </w:r>
    </w:p>
    <w:p>
      <w:pPr>
        <w:keepNext/>
        <w:keepLines/>
        <w:spacing w:after="100" w:line="300" w:lineRule="exact"/>
      </w:pPr>
      <w:r>
        <w:rPr>
          <w:rFonts w:ascii="游ゴシック" w:cs="游ゴシック" w:eastAsia="游ゴシック" w:hAnsi="游ゴシック"/>
          <w:b/>
          <w:bCs/>
          <w:color w:val="2E75B6"/>
          <w:sz w:val="22"/>
          <w:szCs w:val="22"/>
        </w:rPr>
        <w:t xml:space="preserve">「結」のこころを持って支え合う地域共生社会</w:t>
      </w:r>
    </w:p>
    <w:p>
      <w:pPr>
        <w:keepNext/>
        <w:keepLines/>
        <w:spacing w:after="100" w:line="300" w:lineRule="exact"/>
      </w:pPr>
      <w:r>
        <w:rPr>
          <w:rFonts w:ascii="游ゴシック" w:cs="游ゴシック" w:eastAsia="游ゴシック" w:hAnsi="游ゴシック"/>
          <w:b/>
          <w:bCs/>
          <w:color w:val="2E75B6"/>
          <w:sz w:val="22"/>
          <w:szCs w:val="22"/>
        </w:rP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編集注記：基本理念の継承については村と協議のうえ確定します。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基本目標</w:t>
      </w:r>
    </w:p>
    <w:p>
      <w:pPr>
        <w:spacing w:after="120" w:line="300" w:lineRule="exact"/>
      </w:pPr>
      <w:r>
        <w:rPr>
          <w:rFonts w:ascii="游ゴシック" w:cs="游ゴシック" w:eastAsia="游ゴシック" w:hAnsi="游ゴシック"/>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557"/>
        <w:gridCol w:w="5054"/>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第10期の重点</w:t>
      </w:r>
    </w:p>
    <w:p>
      <w:pPr>
        <w:spacing w:after="120" w:line="300" w:lineRule="exact"/>
      </w:pPr>
      <w:r>
        <w:rPr>
          <w:rFonts w:ascii="游ゴシック" w:cs="游ゴシック" w:eastAsia="游ゴシック" w:hAnsi="游ゴシック"/>
          <w:sz w:val="21"/>
          <w:szCs w:val="21"/>
        </w:rPr>
        <w:t xml:space="preserve">2-11で整理した6つの課題を踏まえ、本計画では次の4点を重点として取り組みます。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重点1　軽度の方の重度化を防ぎます</w:t>
      </w:r>
    </w:p>
    <w:p>
      <w:pPr>
        <w:spacing w:after="120" w:line="300" w:lineRule="exact"/>
      </w:pPr>
      <w:r>
        <w:rPr>
          <w:rFonts w:ascii="游ゴシック" w:cs="游ゴシック" w:eastAsia="游ゴシック" w:hAnsi="游ゴシック"/>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令和5年度の決算で事業費の計上なし）。多様なサービスの創設を検討するとともに、通いの場は開催の頻度を高め、一般介護予防事業を拡充します。（課題2に対応）</w:t>
      </w:r>
    </w:p>
    <w:p>
      <w:pPr>
        <w:keepNext/>
        <w:keepLines/>
        <w:spacing w:after="100" w:line="300" w:lineRule="exact"/>
      </w:pPr>
      <w:r>
        <w:rPr>
          <w:rFonts w:ascii="游ゴシック" w:cs="游ゴシック" w:eastAsia="游ゴシック" w:hAnsi="游ゴシック"/>
          <w:b/>
          <w:bCs/>
          <w:color w:val="2E75B6"/>
          <w:sz w:val="22"/>
          <w:szCs w:val="22"/>
        </w:rPr>
        <w:t xml:space="preserve">重点2　後期高齢者の増加に備えます</w:t>
      </w:r>
    </w:p>
    <w:p>
      <w:pPr>
        <w:spacing w:after="120" w:line="300" w:lineRule="exact"/>
      </w:pPr>
      <w:r>
        <w:rPr>
          <w:rFonts w:ascii="游ゴシック" w:cs="游ゴシック" w:eastAsia="游ゴシック" w:hAnsi="游ゴシック"/>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keepNext/>
        <w:keepLines/>
        <w:spacing w:after="100" w:line="300" w:lineRule="exact"/>
      </w:pPr>
      <w:r>
        <w:rPr>
          <w:rFonts w:ascii="游ゴシック" w:cs="游ゴシック" w:eastAsia="游ゴシック" w:hAnsi="游ゴシック"/>
          <w:b/>
          <w:bCs/>
          <w:color w:val="2E75B6"/>
          <w:sz w:val="22"/>
          <w:szCs w:val="22"/>
        </w:rPr>
        <w:t xml:space="preserve">重点3　冬期の生活と移動を支えます</w:t>
      </w:r>
    </w:p>
    <w:p>
      <w:pPr>
        <w:spacing w:after="120" w:line="300" w:lineRule="exact"/>
      </w:pPr>
      <w:r>
        <w:rPr>
          <w:rFonts w:ascii="游ゴシック" w:cs="游ゴシック" w:eastAsia="游ゴシック" w:hAnsi="游ゴシック"/>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keepNext/>
        <w:keepLines/>
        <w:spacing w:after="100" w:line="300" w:lineRule="exact"/>
      </w:pPr>
      <w:r>
        <w:rPr>
          <w:rFonts w:ascii="游ゴシック" w:cs="游ゴシック" w:eastAsia="游ゴシック" w:hAnsi="游ゴシック"/>
          <w:b/>
          <w:bCs/>
          <w:color w:val="2E75B6"/>
          <w:sz w:val="22"/>
          <w:szCs w:val="22"/>
        </w:rPr>
        <w:t xml:space="preserve">重点4　計画を評価し改善する仕組みをつくります</w:t>
      </w:r>
    </w:p>
    <w:p>
      <w:pPr>
        <w:spacing w:after="120" w:line="300" w:lineRule="exact"/>
      </w:pPr>
      <w:r>
        <w:rPr>
          <w:rFonts w:ascii="游ゴシック" w:cs="游ゴシック" w:eastAsia="游ゴシック" w:hAnsi="游ゴシック"/>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施策の体系</w:t>
      </w:r>
    </w:p>
    <w:p>
      <w:r>
        <w:br w:type="page"/>
      </w:r>
    </w:p>
    <w:p>
      <w:pPr>
        <w:keepNext/>
        <w:keepLines/>
        <w:spacing w:after="60" w:before="160"/>
        <w:jc w:val="center"/>
      </w:pPr>
      <w:r>
        <w:drawing>
          <wp:inline distT="0" distB="0" distL="0" distR="0">
            <wp:extent cx="5038725" cy="813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038725" cy="813435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6"/>
          <w:szCs w:val="16"/>
        </w:rPr>
        <w:t xml:space="preserve">出典：―</w:t>
      </w:r>
    </w:p>
    <w:p>
      <w:pPr>
        <w:spacing w:after="120" w:line="300" w:lineRule="exact"/>
      </w:pPr>
      <w:r>
        <w:rPr>
          <w:rFonts w:ascii="游ゴシック" w:cs="游ゴシック" w:eastAsia="游ゴシック" w:hAnsi="游ゴシック"/>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9施策あり、その過半は基本目標1（介護予防）と基本目標5（計画の推進と進捗管理）に置いています。</w:t>
      </w:r>
    </w:p>
    <w:p>
      <w:pPr>
        <w:spacing w:after="120" w:line="300" w:lineRule="exact"/>
      </w:pPr>
      <w:r>
        <w:rPr>
          <w:rFonts w:ascii="游ゴシック" w:cs="游ゴシック" w:eastAsia="游ゴシック" w:hAnsi="游ゴシック"/>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施策体系の対応表</w:t>
      </w:r>
    </w:p>
    <w:p>
      <w:pPr>
        <w:spacing w:after="120" w:line="300" w:lineRule="exact"/>
      </w:pPr>
      <w:r>
        <w:rPr>
          <w:rFonts w:ascii="游ゴシック" w:cs="游ゴシック" w:eastAsia="游ゴシック" w:hAnsi="游ゴシック"/>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842"/>
        <w:gridCol w:w="2995"/>
        <w:gridCol w:w="1404"/>
        <w:gridCol w:w="843"/>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主な根拠</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交付金の目標</w:t>
            </w:r>
          </w:p>
        </w:tc>
        <w:tc>
          <w:tcPr>
            <w:tcW w:type="dxa" w:w="84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SDGs</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 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支援Ⅰ・成果Ⅳ</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介保法115条の45第1項第3号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 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 地域支え合い活動の促進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老福法20条の8第2項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 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3・11</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 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 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介保法115条の48（会議）</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 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 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介保法115条の45第2項第5号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 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介保法122条の2（交付金）</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w:t>
            </w:r>
          </w:p>
        </w:tc>
        <w:tc>
          <w:tcPr>
            <w:tcW w:type="dxa" w:w="84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599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本計画との関わり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基本目標1　健康づくりと介護予防施策の充実・推進【最重点】</w:t>
      </w:r>
    </w:p>
    <w:p>
      <w:pPr>
        <w:spacing w:after="120" w:line="300" w:lineRule="exact"/>
      </w:pPr>
      <w:r>
        <w:rPr>
          <w:rFonts w:ascii="游ゴシック" w:cs="游ゴシック" w:eastAsia="游ゴシック" w:hAnsi="游ゴシック"/>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施策1-1　通いの場の開催頻度の向上と地区差の是正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令和6年度の通いの場は23か所・参加者281人（参加率27.8%）、うち週1回以上の開催は8か所・123人（同12.2%）です（2-6）。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週1回以上開催する通いの場を増やします。既存の通いの場の開催頻度を高めることを優先します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地区別の参加状況を把握し、参加率の低い地区に重点的に働きかけます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住民主体の通いの場の立ち上げを支援します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参加していない方へのアウトリーチを継続します（国の評価指標では令和8年度に9点満点・全国平均6.3点）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総合事業実施状況調査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施策1-2　総合事業における多様なサービスの創設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関係機関との意見交換により、総合事業を推進するための課題を把握します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本村の実情に適した多様なサービスの類型を検討します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サービスCを実施する場合は、終了後に通いの場へつなぐ仕組みをあわせて整備します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社会福祉法人・医療法人・NPO・民間事業者等との連携を進めます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毎日の食事の確保が課題となる世帯への配食について、総合事業による実施を検討します。村単独の弁当配達は年4回であり、量の目標は4-6(2)に掲げています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施策1-3　一般介護予防事業の拡充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一般介護予防事業の実施内容を見直し、必要な事業量を確保します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施策1-4　介護予防におけるデータ活用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見える化システム・KDBシステムを活用し、介護予防に関する課題を把握します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施策1-5　地域リハビリテーション活動支援事業の推進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関係団体と連携し、リハビリテーション専門職が関与する仕組みを構築します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施策1-6　高齢者の保健事業と介護予防の一体的実施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現在の取組を継続し、対象者の拡大を図ります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基本目標2　安心で自分らしい生活支援の充実</w:t>
      </w:r>
    </w:p>
    <w:p>
      <w:pPr>
        <w:spacing w:after="120" w:line="300" w:lineRule="exact"/>
      </w:pPr>
      <w:r>
        <w:rPr>
          <w:rFonts w:ascii="游ゴシック" w:cs="游ゴシック" w:eastAsia="游ゴシック" w:hAnsi="游ゴシック"/>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lineRule="exact"/>
      </w:pPr>
      <w:r>
        <w:rPr>
          <w:rFonts w:ascii="游ゴシック" w:cs="游ゴシック" w:eastAsia="游ゴシック" w:hAnsi="游ゴシック"/>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施策2-1　高齢者の移動に関する支援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本村はすでに移動の支援の仕組みを備えています。村民向けの路線バスICカードを発行し、喜多方と裏磐梯、猪苗代と裏磐梯を結ぶ路線バスを無料で利用できます。路線バスの運行区域以外でも、無料のコミュニティバスが運行しています。いずれも公共交通の担当部局が所管しています。第10期の課題は、新たな仕組みを作ることではなく、この仕組みが必要な方に届いているかを確かめることです。移動に関する課題の把握が0点にとどまっているのは、既存の仕組みの利用の状況と、届いていない範囲を把握できていないことによ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移動に関する課題を体系的に把握します。路線バスICカードとコミュニティバスの利用の状況、および地区別の運行の状況から、支援が届いていない範囲を明らかにします。認知症の方の移動のための交通手段の確保という観点を加えます（認知症基本法第15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路線バスICカードとコミュニティバスの周知を図り、交付・利用の手続の分かりやすさを高めます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既存の仕組みでは届かない範囲について、介護予防・生活支援サービス事業による補い方を検討します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評価指標（令和5年度まで）</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路線バスICカード・コミュニティバスの利用の状況の把握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施策2-2　社会参加の促進とインセンティブの検討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高齢者のボランティア活動等に対するポイント事業の導入を検討します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高齢者の就労・雇用の機会の確保に取り組みます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施策2-3　住まいの安定的な確保と生活困難者支援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住まいの確保に困難を抱える高齢者の実態を把握します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関係部局・関係機関と連携した支援体制を検討します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施策2-4　日常生活の安全確保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村は緊急通報システムのほかにも、なりすまし詐欺抑止装置の無償貸与、火災警報器の無償配布、防犯カメラ等の設置助成を村単独事業として実施しています（4-6(2)）。本施策はこれらを一体として扱います。ただし緊急通報システムとなりすまし詐欺抑止装置はいずれも固定電話をお持ちの方を対象としています。固定電話のない高齢者世帯がどれだけあるかは把握していません。見守りの網から漏れる層が生じ得るため、状況の把握を課題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避難行動要支援者名簿の整備と活用を進めます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介護事業所と連携した災害訓練を継続します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村内の介護サービス事業所の業務継続計画（BCP）の策定・見直しを支援します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要配慮者利用施設の避難確保計画の策定と避難訓練の実施を支援します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感染症が発生した場合の応援体制を、県・近隣市町村と連携して整えます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特殊詐欺・消費者被害の防止に向けた啓発を行います。なりすまし詐欺抑止装置の無償貸与を継続します。認知症の方が消費生活における被害を受けることを防ぐ観点を加えます（認知症基本法第17条）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火災警報器の無償配布と防犯カメラ等の設置助成を継続します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固定電話のない高齢者世帯の状況を把握し、見守りの代わりの手立てを検討します。緊急連絡カード（持病・お薬・かかりつけ医・緊急連絡先を記入し電話機や冷蔵庫の近くに備え付けるもの）は、固定電話がなく緊急通報装置を設置できない世帯にも届く手段であり、その配布と周知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緊急通報システムの設置台数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固定電話のない高齢者世帯の把握</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施策2-5　地域支え合い活動の促進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第9期の調査では「地域・近所の見守り、声かけ」を必要と感じる方が10.4%あり、今後必要と感じる支援の第2位以下に入っています（2-10）。村単独事業として老人クラブの活動を支援していますが、会員数の推移は把握できていないため、村への照会のうえ記載します（4-6(2)）。生活支援コーディネーターと第2層協議体による体制の整備は施策4-5で扱います。本施策は、その体制の上で住民が行う支え合いの活動そのものを促すことを目的と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住民による見守り・声かけの活動を支援します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老人クラブの活動を支援し、参加の機会を広げます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ボランティアネットワークの整備を促進します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第2層協議体が把握した地域の課題を、住民の活動に結びつけます（施策4-5）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地域・近所の見守り、声かけを必要と感じる方の割合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10.4%（第9期調査）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ボランティアネットワークの整備状況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施策2-6　冬期の生活支援（除雪）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今後必要と感じる支援の第1位は「除雪」で、要介護認定を受けている方でも同じ傾向にあります（2-10・2-11）。ひとり暮らし高齢者世帯等除雪サービス事業を実施していますが、第9期計画では「在宅生活の継続支援」の一部として扱われ、独立した施策としては位置づけられていませんでした。</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ひとり暮らし高齢者世帯等除雪サービス事業の対象要件と実施体制を検証します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公的サービスと住民互助・シルバー人材センター等との役割分担を整理します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除雪の担い手の確保に取り組みます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介護予防・生活支援サービス事業による対応の可能性を検討します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基本目標3　質の高い介護サービスの充実</w:t>
      </w:r>
    </w:p>
    <w:p>
      <w:pPr>
        <w:spacing w:after="120" w:line="300" w:lineRule="exact"/>
      </w:pPr>
      <w:r>
        <w:rPr>
          <w:rFonts w:ascii="游ゴシック" w:cs="游ゴシック" w:eastAsia="游ゴシック" w:hAnsi="游ゴシック"/>
          <w:sz w:val="21"/>
          <w:szCs w:val="21"/>
        </w:rPr>
        <w:t xml:space="preserve">村内で提供されるサービスは訪問介護・通所介護・認知症対応型共同生活介護の3種類に限られ、施設サービスはすべて村外を利用しています。この実態を前提として、必要なサービスが必要な方に届く体制を整えます。</w:t>
      </w:r>
    </w:p>
    <w:p>
      <w:pPr>
        <w:spacing w:after="120" w:line="300" w:lineRule="exact"/>
      </w:pPr>
      <w:r>
        <w:rPr>
          <w:rFonts w:ascii="游ゴシック" w:cs="游ゴシック" w:eastAsia="游ゴシック" w:hAnsi="游ゴシック"/>
          <w:sz w:val="21"/>
          <w:szCs w:val="21"/>
        </w:rPr>
        <w:t xml:space="preserve">見込量は需要により置くことを原則とし、村内に事業所がないことを理由に減らすことはしません（5-4）。ただし地域密着型サービスと介護予防・日常生活支援総合事業の2つは、村の判断が供給の上限になります。施策3-2と施策1-2は、この2つについての村の判断を示すものです。</w:t>
      </w:r>
    </w:p>
    <w:p>
      <w:pPr>
        <w:spacing w:after="120" w:line="300" w:lineRule="exact"/>
      </w:pPr>
      <w:r>
        <w:rPr>
          <w:rFonts w:ascii="游ゴシック" w:cs="游ゴシック" w:eastAsia="游ゴシック" w:hAnsi="游ゴシック"/>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施策3-1　居宅サービスの確保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3種類しかなく、多くを村外の事業所で利用しているため、供給の状況は事業所の都合に左右されます。村内に1か所ある訪問介護についても、給付月額が平成29年度から令和7年度に73.1%減り、訪問系の自給率は21.6ポイント下がっています（2-5）。訪問介護・訪問看護等の担い手の確保が課題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居宅サービス事業者との連携を維持し、必要なサービス量を確保します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福祉用具貸与・住宅改修についてリハビリテーション専門職が関与する仕組みを継続します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との共通の基盤を確保するため、共生型サービスの指定を受ける余地について、村内および圏域の介護サービス事業者と情報を共有し、協議します。指定を受けるかどうかは事業者の判断であるため、本計画では協議した事業所の数と意向を確かめた事業所の数を指標とし、指定の数は結果として示します（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共生型サービスについて協議した事業所数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村内3か所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共生型サービスの指定を受けた事業所数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―（協議の結果による）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施策3-2　地域密着型サービスの維持と定員の検討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村内定員に対する到達率は令和8年度に96.3%で、計画期間は満床の見込みです（5-4(5)）。また認知症対応型通所介護は平成30年度を最後に実績がありません。地域密着型サービスは村の指定によりはじめて提供されるため、定員と類型の設定は村の判断によります（5-4(8)）。</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既存事業所の運営を支援し、サービスの継続的な提供を確保します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認定者数の推移を踏まえ、定員の見直しの必要性を検討します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施策3-3　村外施設サービスの利用支援　【改称】</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村内には介護老人福祉施設・介護老人保健施設・介護医療院がなく、施設サービスを必要とする方はすべて村外の施設を利用しています。村内に施設等があれば入所したいとの回答は48.5%ありますが、標本が小さく、これのみを整備の根拠とすることは避けます（2-10）。第9期計画は施設の種類を列挙する記載でしたが、本計画では村外利用を前提とした支援策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村外施設の空き状況等の情報提供を行います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入所を希望する方の相談に応じ、必要な調整を支援します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遠隔地の施設を利用するご家族の負担軽減を図ります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施策3-4　短期入所サービスの確保　【新規】</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短期入所の利用実態と、ご家族の負担の状況を把握します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在宅介護実態調査の結果を踏まえ、必要な支援を検討します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施策3-5　介護給付の適正化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6期介護給付適正化計画（令和6年度〜令和8年度）からは、①要介護認定の適正化、②ケアプラン等の点検、③医療情報との突合・縦覧点検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主要3事業（要介護認定の適正化・ケアプラン等の点検・医療情報との突合／縦覧点検）をすべて継続して実施します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縦覧点検4帳票の全件点検を継続します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の点検および住宅改修の点検・福祉用具購入・貸与調査について、点検対象とする事業所の選定の際に国民健康保険団体連合会（国保連）の介護給付費適正化システムの帳票を積極的に活用し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国保連の帳票を活用した点検の実施件数・実施率を上半期・下半期ごとに記録し、前年度の水準を下回らないようにします（6-4⑦）</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県および国保連との会議体に参加し、村単独では実施が難しい点検について支援と委託の範囲を広げます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高齢者向け住まいに居住する受給者の給付実績を抽出した帳票が提供された時点で、村外の住まいを利用している方の給付の点検の手順を定めます（5-8(5)）</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2事業（②③は取得あり、①は確認中）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8点／16点（4段階のうち2段階・令和8年度）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16点（4段階すべて）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医療情報との突合の評価の段階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16点／16点（令和7年度から）</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点検対象の選定への国保連の帳票の活用</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毎年度活用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基本目標4　地域で支えあう仕組みづくり</w:t>
      </w:r>
    </w:p>
    <w:p>
      <w:pPr>
        <w:spacing w:after="120" w:line="300" w:lineRule="exact"/>
      </w:pPr>
      <w:r>
        <w:rPr>
          <w:rFonts w:ascii="游ゴシック" w:cs="游ゴシック" w:eastAsia="游ゴシック" w:hAnsi="游ゴシック"/>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lineRule="exact"/>
      </w:pPr>
      <w:r>
        <w:rPr>
          <w:rFonts w:ascii="游ゴシック" w:cs="游ゴシック" w:eastAsia="游ゴシック" w:hAnsi="游ゴシック"/>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lineRule="exact"/>
      </w:pPr>
      <w:r>
        <w:rPr>
          <w:rFonts w:ascii="游ゴシック" w:cs="游ゴシック" w:eastAsia="游ゴシック" w:hAnsi="游ゴシック"/>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施策4-1　地域包括支援センターの機能強化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3職種の配置は整っています（2-6）。ただし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3職種の体制を維持します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保健師の確保に努めます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包括的支援事業・介護予防ケアマネジメントの適切な実施を継続します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高齢者虐待の早期発見・早期対応の体制を維持し、通報から対応までの手順を関係機関と共有します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養護者の負担軽減のための相談・支援を行います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家族等の介護離職防止に向けた支援に取り組みます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障がい福祉サービスを利用している方が40歳または65歳に達する場合は、障がい福祉担当および相談支援専門員と情報を共有し、本人の意向と必要な支援の量を確かめたうえで制度間の移行・併用を調整します。介護保険サービスへ移ることで必要な支援が途切れないよう、介護支援専門員と相談支援専門員が引継ぎを行います（1-4）</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高齢の方が障がいのある家族の主たる介護者となっている世帯については、高齢者本人の介護の必要だけでなく世帯全体の生活の継続という観点から、障がい福祉担当・相談支援事業所と連携して支援します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福祉用具・補装具・住宅改修については、制度が移ることにより現に使っている用具が使えなくなることがないよう、移行の前に利用の状況を確かめます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65歳に達する障がい福祉サービス利用者の移行の確認</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到達者全員</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施策4-2　地域ケア会議の充実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地域ケア個別会議の開催回数と検討事例数を増やします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複数の個別事例から地域課題を明らかにし、政策提言につなげます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施策4-3　在宅医療・介護連携の推進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多職種研修会の開催を継続します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情報基盤による情報共有に対応します。要介護認定情報・請求情報・ケアプラン等を本人・介護事業所・医療機関等が電子的に共有する基盤で、全市町村において令和10年4月1日までに活用を開始することを目指すこととされています（1-8の3）。本村は給付費の58.7%が村外のサービスによるものであり、連携の相手方の多くが村外にあるため、村外の事業所・医療機関との情報共有の手立てとして効果が大きいと考え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医療・介護関係者間の情報共有の取組を継続します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入退院支援の充実を図ります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人生の最終段階における医療・ケアの意思決定支援（ACP・人生会議）の普及に取り組みます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医療と介護の協議の場の再編成に対応し、村内および村外の関係者による協議の場を整えます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協力医療機関の要件（①日常の相談への対応、②急変時の診療、③入院の受入れ）を満たす医療機関の確保状況を、村内の入所施設および村外施設の利用について把握します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在宅医療と介護の提供体制の目指すべき姿</w:t>
      </w:r>
    </w:p>
    <w:p>
      <w:pPr>
        <w:spacing w:after="120" w:line="300" w:lineRule="exact"/>
      </w:pPr>
      <w:r>
        <w:rPr>
          <w:rFonts w:ascii="游ゴシック" w:cs="游ゴシック" w:eastAsia="游ゴシック" w:hAnsi="游ゴシック"/>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4306"/>
        <w:gridCol w:w="374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第10期に目指す姿</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目指す姿と現状の差から抽出した課題と対応策</w:t>
      </w:r>
    </w:p>
    <w:p>
      <w:pPr>
        <w:spacing w:after="120" w:line="300" w:lineRule="exact"/>
      </w:pPr>
      <w:r>
        <w:rPr>
          <w:rFonts w:ascii="游ゴシック" w:cs="游ゴシック" w:eastAsia="游ゴシック" w:hAnsi="游ゴシック"/>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434"/>
        <w:gridCol w:w="374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主な対応策</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施策4-4　認知症施策の推進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の32点／100点（4-4）について、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認知症の日（9月21日）および認知症月間（9月）に、その趣旨にふさわしい事業を実施します（認知症基本法第9条）</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若年性認知症の方の状況を把握し、就労の継続に関する相談に対応します（同法第16条第2項）</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認知症サポーターの養成を継続し、養成率を国の評価の基準に照らして確認します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専門医療機関との連携による早期診断・早期対応の体制を維持します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認知症初期集中支援チームの活動を継続します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認知症地域支援推進員の活動を、通いの場・地域ケア会議と結びつけます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認知症の人とご家族への支援を充実します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相談窓口の周知を強化します。とくに周知率の低い地区に重点的に働きかけます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施策4-5　生活支援体制の整備　【継続】</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生活支援コーディネーターの活動を継続します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施策4-6　介護人材の確保と生産性向上　【強化】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定住自立圏（喜多方市・西会津町・北塩原村）の枠組みを活用した研修費用助成を継続します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介護サービス事業者・教育関係者等と連携した取組を進めます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多様な人材・介護助手等、元気な高齢者の活躍の場を検討します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文書負担軽減に係る取組を進めます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データ連携への移行を支援します。令和9年1月を目処に介護情報基盤へ統合され、令和9年4月以降は介護ソフトとのAPI連携が可能となる予定です。統合後にデータ連携を行うには介護事業所において新しいシステムでの事業所・管理者の登録を要するため、村内の居宅介護支援事業所およびサービス事業所への周知と登録の支援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都道府県と協定を締結した法人・事業所との連携を検討します。一定期間の事業継続や事業者間の連携・協働を推進する仕組みで、共同採用・合同研修・バックオフィス業務の共同化等が支援の対象とされています。本村は村内の事業所が3種類にとどまり多くを村外に依存しているため、村内に事業所を一つずつ整備するよりも、圏域の法人による供給の継続を確かなものにする方が現実的な選択肢となるサービス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介護テクノロジーの導入は、導入の件数だけでなく、記録に要する時間の削減、削減した時間のケアへの振り向け、事業の継続への効果により評価します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サービス事業者経営情報データベース（介護経営DB）の分析結果が公表された時点で、本村が利用しているサービスの経営の状況を把握する材料として用います（2-5）。村内の事業所に対しては、報告が義務であること（過去1年間の介護サービスの対価の収入が100万円以下の事業者は対象から除かれること）と報告の期限を周知します。分析結果は按分の処理に課題があり村の区域を単位とする値が得られるかも示されていないため、施策の指標には用いず、供給の継続性を把握する情報源として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施策4-7　成年後見制度の利用促進　【継続・強化】</w:t>
      </w:r>
    </w:p>
    <w:p>
      <w:pPr>
        <w:keepNext/>
        <w:keepLines/>
        <w:spacing w:after="100" w:line="300" w:lineRule="exact"/>
      </w:pPr>
      <w:r>
        <w:rPr>
          <w:rFonts w:ascii="游ゴシック" w:cs="游ゴシック" w:eastAsia="游ゴシック" w:hAnsi="游ゴシック"/>
          <w:b/>
          <w:bCs/>
          <w:color w:val="2E75B6"/>
          <w:sz w:val="22"/>
          <w:szCs w:val="22"/>
        </w:rPr>
        <w:t xml:space="preserve">現状と課題</w:t>
      </w:r>
    </w:p>
    <w:p>
      <w:pPr>
        <w:spacing w:after="120" w:line="300" w:lineRule="exact"/>
      </w:pPr>
      <w:r>
        <w:rPr>
          <w:rFonts w:ascii="游ゴシック" w:cs="游ゴシック" w:eastAsia="游ゴシック" w:hAnsi="游ゴシック"/>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keepNext/>
        <w:keepLines/>
        <w:spacing w:after="100" w:line="300" w:lineRule="exact"/>
      </w:pPr>
      <w:r>
        <w:rPr>
          <w:rFonts w:ascii="游ゴシック" w:cs="游ゴシック" w:eastAsia="游ゴシック" w:hAnsi="游ゴシック"/>
          <w:b/>
          <w:bCs/>
          <w:color w:val="2E75B6"/>
          <w:sz w:val="22"/>
          <w:szCs w:val="22"/>
        </w:rPr>
        <w:t xml:space="preserve">第10期の取組</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制度の周知を強化します。特に任意後見制度について、判断能力が低下する前の備えとして広報を行います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中核機関である会津権利擁護・成年後見センターとの連携を強め、相談につながる経路を整えます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市民後見人の養成と登録を進めます。広域で養成された方の活動の場を村内に確保します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法人後見の担い手の確保について、社会福祉協議会等と協議します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申立費用助成制度と報酬助成制度の周知を行い、費用を理由に利用をあきらめることのないようにします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1685"/>
        <w:gridCol w:w="1685"/>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基本目標5　計画の推進と進捗管理【新設】</w:t>
      </w:r>
    </w:p>
    <w:p>
      <w:pPr>
        <w:spacing w:after="120" w:line="300" w:lineRule="exact"/>
      </w:pPr>
      <w:r>
        <w:rPr>
          <w:rFonts w:ascii="游ゴシック" w:cs="游ゴシック" w:eastAsia="游ゴシック" w:hAnsi="游ゴシック"/>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542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高齢者福祉サービスの量の目標</w:t>
      </w:r>
    </w:p>
    <w:p>
      <w:pPr>
        <w:spacing w:after="120" w:line="300" w:lineRule="exact"/>
      </w:pPr>
      <w:r>
        <w:rPr>
          <w:rFonts w:ascii="游ゴシック" w:cs="游ゴシック" w:eastAsia="游ゴシック" w:hAnsi="游ゴシック"/>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事業の範囲と内容は「北塩原村高齢者サービスの手引き（令和8年度版）」によります。取組の内容は、対応する施策がある事業については基本目標2および基本目標4の各施策に記載しています。</w:t>
      </w:r>
    </w:p>
    <w:p>
      <w:pPr>
        <w:keepNext/>
        <w:keepLines/>
        <w:spacing w:after="100" w:line="300" w:lineRule="exact"/>
      </w:pPr>
      <w:r>
        <w:rPr>
          <w:rFonts w:ascii="游ゴシック" w:cs="游ゴシック" w:eastAsia="游ゴシック" w:hAnsi="游ゴシック"/>
          <w:b/>
          <w:bCs/>
          <w:color w:val="2E75B6"/>
          <w:sz w:val="22"/>
          <w:szCs w:val="22"/>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749"/>
        <w:gridCol w:w="1030"/>
        <w:gridCol w:w="749"/>
        <w:gridCol w:w="749"/>
        <w:gridCol w:w="749"/>
        <w:gridCol w:w="308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村外施設への措置により確保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村外施設の利用により確保</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655"/>
        <w:gridCol w:w="749"/>
        <w:gridCol w:w="468"/>
        <w:gridCol w:w="468"/>
        <w:gridCol w:w="468"/>
        <w:gridCol w:w="4493"/>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確保の方策（該当施策）</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ひとり暮らし高齢者弁当配達サービス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赤十字奉仕団による弁当の配達（年4回）を継続する。毎日の食事の確保という課題に対しては年4回では足りないため、介護予防・生活支援サービス事業による配食の創設を検討する（施策1-2）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ひとり暮らし高齢者世帯等で固定電話をお持ちの方への設置を継続する。「お元気コール」による安否確認をあわせて行う。固定電話のない世帯への代わりの手立てを検討する。避難行動要支援者名簿の整備とあわせて対象を把握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世帯／年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ひとり暮らし高齢者世帯等除雪サービス事業の対象要件と実施体制を検証し、住民互助・シルバー人材センターとの役割分担を整理する。担い手の確保が制約となる（施策2-6）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高齢者の移動支援（路線バスICカード・コミュニティバス）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向けの路線バスICカードの発行と無料のコミュニティバスの運行を継続し、周知を図る。これらで届かない範囲について、介護予防・生活支援サービス事業による補い方を検討する。認知症の方の交通手段の確保を含む（施策2-1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寝具洗濯サービス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在宅介護高齢者等寝具洗濯サービス（社会福祉協議会に委託）を継続する。施策体系上の位置づけは村と協議する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訪問理美容サービス</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在宅介護高齢者等訪問理美容サービス（社会福祉協議会に委託）を継続する。施策体系上の位置づけは村と協議する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現在の体制を維持する。認知症の方のご家族への支援とあわせて周知する（施策4-4）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要介護4以上で常時紙おむつ等を必要とする在宅の方への支給（月額4,000円。非課税世帯は5,000円）を継続する（施策4-4）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なりすまし詐欺抑止装置の貸与</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65歳以上の高齢者世帯等で固定電話をお持ちの方への無償貸与を継続する（施策2-4）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火災警報器の配布</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台</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65歳以上の高齢者世帯等で未設置の場合の無償配布を継続する（施策2-4）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防犯カメラ等の設置助成</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高齢者のみで居住する世帯への助成（上限10万円・補助率10/10）を継続する（施策2-4）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シニア元気アップ教室（月2回程度・北山地区と裏磐梯地区の2会場）を継続し、多様な学習機会を確保する。通いの場（施策1-1）との役割分担を整理する（施策2-2）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長寿を祝う会</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75歳以上の方を対象に継続する。施策体系上の位置づけは村と協議する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健康長寿祝金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75歳から100歳までと101歳以上への支給を継続する。住所地特例の方を含む。施策体系上の位置づけは村と協議する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地域・健康づくり活動活性化助成金</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団体／年</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高齢者が参画する自主活動団体への活動費の助成を継続する。住民の支え合いの活動（施策2-5）との役割分担を整理する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高齢者の就労・雇用の機会の確保に取り組む。除雪・生活支援の担い手としての役割も担う（施策2-2・施策2-6）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老人クラブ（会員数）</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ボランティアネットワークの整備とあわせて活動を支援する（施策2-5）。地区の課題の把握は第2層協議体による（施策4-5）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対応する施策がある事業については基本目標2の各施策に記載しています。</w:t>
      </w:r>
    </w:p>
    <w:p>
      <w:pPr>
        <w:spacing w:after="120" w:line="300" w:lineRule="exact"/>
      </w:pPr>
      <w:r>
        <w:rPr>
          <w:rFonts w:ascii="游ゴシック" w:cs="游ゴシック" w:eastAsia="游ゴシック" w:hAnsi="游ゴシック"/>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の事業のうち、寝具洗濯サービス・訪問理美容サービス・長寿を祝う会・健康長寿祝金・地域・健康づくり活動活性化助成金の5事業は、第4章の施策体系に対応する施策を置いていません。本節に量の目標を掲げたうえで、施策体系上の位置づけを村と協議して定めます。帯状疱疹予防接種は予防接種による健康の保持の事業であり、老人福祉事業の量の目標には掲げ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ひとり暮らし高齢者弁当配達サービスは、赤十字奉仕団により年4回を予定するものです。介護予防・日常生活支援総合事業の配食（多様なサービス）は、直近の決算である令和5年度において実施の実績がありません（2-6）。毎日の食事の確保という課題に対しては年4回では足りないため、総合事業による配食の創設を施策1-2で検討します。両者は別の事業であり、量の目標は前者について掲げ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4-7　認知症施策推進計画としての位置づけ</w:t>
      </w:r>
    </w:p>
    <w:p>
      <w:pPr>
        <w:spacing w:after="120" w:line="300" w:lineRule="exact"/>
      </w:pPr>
      <w:r>
        <w:rPr>
          <w:rFonts w:ascii="游ゴシック" w:cs="游ゴシック" w:eastAsia="游ゴシック" w:hAnsi="游ゴシック"/>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keepNext/>
        <w:keepLines/>
        <w:spacing w:after="100" w:line="300" w:lineRule="exact"/>
      </w:pPr>
      <w:r>
        <w:rPr>
          <w:rFonts w:ascii="游ゴシック" w:cs="游ゴシック" w:eastAsia="游ゴシック" w:hAnsi="游ゴシック"/>
          <w:b/>
          <w:bCs/>
          <w:color w:val="2E75B6"/>
          <w:sz w:val="22"/>
          <w:szCs w:val="22"/>
        </w:rPr>
        <w:t xml:space="preserve">(1) 法が市町村に求めていること</w:t>
      </w:r>
    </w:p>
    <w:p>
      <w:pPr>
        <w:spacing w:after="120" w:line="300" w:lineRule="exact"/>
      </w:pPr>
      <w:r>
        <w:rPr>
          <w:rFonts w:ascii="游ゴシック" w:cs="游ゴシック" w:eastAsia="游ゴシック" w:hAnsi="游ゴシック"/>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1123"/>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本計画をもって兼ねます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1-4のとおり整合を図ります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村ホームページ等により公表します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(6)のとおり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(5)(6)のとおり</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keepNext/>
        <w:keepLines/>
        <w:spacing w:after="100" w:line="300" w:lineRule="exact"/>
      </w:pPr>
      <w:r>
        <w:rPr>
          <w:rFonts w:ascii="游ゴシック" w:cs="游ゴシック" w:eastAsia="游ゴシック" w:hAnsi="游ゴシック"/>
          <w:b/>
          <w:bCs/>
          <w:color w:val="2E75B6"/>
          <w:sz w:val="22"/>
          <w:szCs w:val="22"/>
        </w:rPr>
        <w:t xml:space="preserve">(2) 3つの基本的な考え方</w:t>
      </w:r>
    </w:p>
    <w:p>
      <w:pPr>
        <w:spacing w:after="120" w:line="300" w:lineRule="exact"/>
      </w:pPr>
      <w:r>
        <w:rPr>
          <w:rFonts w:ascii="游ゴシック" w:cs="游ゴシック" w:eastAsia="游ゴシック" w:hAnsi="游ゴシック"/>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306"/>
        <w:gridCol w:w="299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(5)のとおり、本計画では新たに位置づける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keepNext/>
        <w:keepLines/>
        <w:spacing w:after="100" w:line="300" w:lineRule="exact"/>
      </w:pPr>
      <w:r>
        <w:rPr>
          <w:rFonts w:ascii="游ゴシック" w:cs="游ゴシック" w:eastAsia="游ゴシック" w:hAnsi="游ゴシック"/>
          <w:b/>
          <w:bCs/>
          <w:color w:val="2E75B6"/>
          <w:sz w:val="22"/>
          <w:szCs w:val="22"/>
        </w:rPr>
        <w:t xml:space="preserve">(3) 基本的施策と本計画の施策との対応</w:t>
      </w:r>
    </w:p>
    <w:p>
      <w:pPr>
        <w:spacing w:after="120" w:line="300" w:lineRule="exact"/>
      </w:pPr>
      <w:r>
        <w:rPr>
          <w:rFonts w:ascii="游ゴシック" w:cs="游ゴシック" w:eastAsia="游ゴシック" w:hAnsi="游ゴシック"/>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3744"/>
        <w:gridCol w:w="2715"/>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本計画の施策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施策4-4（サポーター養成・普及啓発）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施策2-1（移動）・施策2-4（見守り）・施策4-4</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施策2-2（社会参加）・施策4-4（チームオレンジ）</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施策4-7（成年後見）・施策2-4（消費者被害の防止）</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国・県の研究および調査への協力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lineRule="exact"/>
      </w:pPr>
      <w:r>
        <w:rPr>
          <w:rFonts w:ascii="游ゴシック" w:cs="游ゴシック" w:eastAsia="游ゴシック" w:hAnsi="游ゴシック"/>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lineRule="exact"/>
      </w:pPr>
      <w:r>
        <w:rPr>
          <w:rFonts w:ascii="游ゴシック" w:cs="游ゴシック" w:eastAsia="游ゴシック" w:hAnsi="游ゴシック"/>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第2号被保険者の認定者は各年度2人から3人の見込みであり（5-3）、この方々に若年性認知症の方が含まれるかどうか、また障がい福祉サービス・精神保健の支援を受けているかどうかを、障がい福祉担当との間で確かめます（1-4）。就労の継続は障害者総合支援法の就労系サービスが受け皿となる場合があるため、制度をまたいだ確認が要ります。</w:t>
      </w:r>
    </w:p>
    <w:p>
      <w:pPr>
        <w:spacing w:after="120" w:line="300" w:lineRule="exact"/>
      </w:pPr>
      <w:r>
        <w:rPr>
          <w:rFonts w:ascii="游ゴシック" w:cs="游ゴシック" w:eastAsia="游ゴシック" w:hAnsi="游ゴシック"/>
          <w:sz w:val="21"/>
          <w:szCs w:val="21"/>
        </w:rPr>
        <w:t xml:space="preserve">第20条（研究等の推進）は、村が単独で担う性格のものではありません。国・県の研究や調査に協力する立場として位置づけます。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(4) 認知症の日および認知症月間</w:t>
      </w:r>
    </w:p>
    <w:p>
      <w:pPr>
        <w:spacing w:after="120" w:line="300" w:lineRule="exact"/>
      </w:pPr>
      <w:r>
        <w:rPr>
          <w:rFonts w:ascii="游ゴシック" w:cs="游ゴシック" w:eastAsia="游ゴシック" w:hAnsi="游ゴシック"/>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lineRule="exact"/>
      </w:pPr>
      <w:r>
        <w:rPr>
          <w:rFonts w:ascii="游ゴシック" w:cs="游ゴシック" w:eastAsia="游ゴシック" w:hAnsi="游ゴシック"/>
          <w:sz w:val="21"/>
          <w:szCs w:val="21"/>
        </w:rPr>
        <w:t xml:space="preserve">本村では、認知症の日および認知症月間に合わせた取組を行っていません。普及啓発（施策4-4）を進める機会として、9月の取組を計画に位置づけます。</w:t>
      </w:r>
    </w:p>
    <w:p>
      <w:pPr>
        <w:keepNext/>
        <w:keepLines/>
        <w:spacing w:after="100" w:line="300" w:lineRule="exact"/>
      </w:pPr>
      <w:r>
        <w:rPr>
          <w:rFonts w:ascii="游ゴシック" w:cs="游ゴシック" w:eastAsia="游ゴシック" w:hAnsi="游ゴシック"/>
          <w:b/>
          <w:bCs/>
          <w:color w:val="2E75B6"/>
          <w:sz w:val="22"/>
          <w:szCs w:val="22"/>
        </w:rPr>
        <w:t xml:space="preserve">(5) 認知症の人および家族等の参画</w:t>
      </w:r>
    </w:p>
    <w:p>
      <w:pPr>
        <w:spacing w:after="120" w:line="300" w:lineRule="exact"/>
      </w:pPr>
      <w:r>
        <w:rPr>
          <w:rFonts w:ascii="游ゴシック" w:cs="游ゴシック" w:eastAsia="游ゴシック" w:hAnsi="游ゴシック"/>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1872"/>
        <w:gridCol w:w="187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【要協議】</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変更のつど</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keepNext/>
        <w:keepLines/>
        <w:spacing w:after="100" w:line="300" w:lineRule="exact"/>
      </w:pPr>
      <w:r>
        <w:rPr>
          <w:rFonts w:ascii="游ゴシック" w:cs="游ゴシック" w:eastAsia="游ゴシック" w:hAnsi="游ゴシック"/>
          <w:b/>
          <w:bCs/>
          <w:color w:val="2E75B6"/>
          <w:sz w:val="22"/>
          <w:szCs w:val="22"/>
        </w:rPr>
        <w:t xml:space="preserve">(6) 施策の実施状況の評価と公表</w:t>
      </w:r>
    </w:p>
    <w:p>
      <w:pPr>
        <w:spacing w:after="120" w:line="300" w:lineRule="exact"/>
      </w:pPr>
      <w:r>
        <w:rPr>
          <w:rFonts w:ascii="游ゴシック" w:cs="游ゴシック" w:eastAsia="游ゴシック" w:hAnsi="游ゴシック"/>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7675"/>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行うこと</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(7)の指標の達成状況を確認する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4118"/>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B7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村内事業所</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26人／月（令和8年度）。到達率96.3%</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県の整備量見込みシート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 D32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国の評価指標における認知症総合支援（支援交付金 目標Ⅱ）は32点／100点で、8つの目標のうち全国平均との差が最も大きい領域です（2-8・4-4）。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keepNext/>
        <w:keepLines/>
        <w:spacing w:after="100" w:line="300" w:lineRule="exact"/>
      </w:pPr>
      <w:r>
        <w:rPr>
          <w:rFonts w:ascii="游ゴシック" w:cs="游ゴシック" w:eastAsia="游ゴシック" w:hAnsi="游ゴシック"/>
          <w:b/>
          <w:bCs/>
          <w:color w:val="2E75B6"/>
          <w:sz w:val="22"/>
          <w:szCs w:val="22"/>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2059"/>
        <w:gridCol w:w="1872"/>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問9(2)</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―（実態把握）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 問9(1)</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第10期中に検討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全国平均51.1点以上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推計の考え方</w:t>
      </w:r>
    </w:p>
    <w:p>
      <w:pPr>
        <w:spacing w:after="120" w:line="300" w:lineRule="exact"/>
      </w:pPr>
      <w:r>
        <w:rPr>
          <w:rFonts w:ascii="游ゴシック" w:cs="游ゴシック" w:eastAsia="游ゴシック" w:hAnsi="游ゴシック"/>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keepNext/>
        <w:keepLines/>
        <w:spacing w:after="100" w:line="300" w:lineRule="exact"/>
      </w:pPr>
      <w:r>
        <w:rPr>
          <w:rFonts w:ascii="游ゴシック" w:cs="游ゴシック" w:eastAsia="游ゴシック" w:hAnsi="游ゴシック"/>
          <w:b/>
          <w:bCs/>
          <w:color w:val="2E75B6"/>
          <w:sz w:val="22"/>
          <w:szCs w:val="22"/>
        </w:rPr>
        <w:t xml:space="preserve">用いる人口の系列</w:t>
      </w:r>
    </w:p>
    <w:p>
      <w:pPr>
        <w:spacing w:after="120" w:line="300" w:lineRule="exact"/>
      </w:pPr>
      <w:r>
        <w:rPr>
          <w:rFonts w:ascii="游ゴシック" w:cs="游ゴシック" w:eastAsia="游ゴシック" w:hAnsi="游ゴシック"/>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685"/>
        <w:gridCol w:w="4493"/>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第1号被保険者数（★第9期からの変更点）</w:t>
      </w:r>
    </w:p>
    <w:p>
      <w:pPr>
        <w:spacing w:after="120" w:line="300" w:lineRule="exact"/>
      </w:pPr>
      <w:r>
        <w:rPr>
          <w:rFonts w:ascii="游ゴシック" w:cs="游ゴシック" w:eastAsia="游ゴシック" w:hAnsi="游ゴシック"/>
          <w:sz w:val="21"/>
          <w:szCs w:val="21"/>
        </w:rPr>
        <w:t xml:space="preserve">国の推計ワークシート（将来推計総括表）に入力した値を用います。令和9年度1,004人・令和10年度1,000人・令和11年度994人で、年齢区分は前期高齢者（65〜74歳）・後期高齢者のうち75〜84歳・85歳以上の3区分です。国の様式がこの3区分で持ち、調整交付金の後期高齢者加入割合補正係数も3区分の全国値から算出されるためです。</w:t>
      </w:r>
    </w:p>
    <w:p>
      <w:pPr>
        <w:spacing w:after="120" w:line="300" w:lineRule="exact"/>
      </w:pPr>
      <w:r>
        <w:rPr>
          <w:rFonts w:ascii="游ゴシック" w:cs="游ゴシック" w:eastAsia="游ゴシック" w:hAnsi="游ゴシック"/>
          <w:sz w:val="21"/>
          <w:szCs w:val="21"/>
        </w:rPr>
        <w:t xml:space="preserve">この値は、厚生労働省配布の推計用人口をそのまま用いたものではなく、直近の実績（令和7年12月末。前期高齢者486人・後期高齢者526人）に合わせて置き直した系列です。</w:t>
      </w:r>
    </w:p>
    <w:p>
      <w:pPr>
        <w:spacing w:after="120" w:line="300" w:lineRule="exact"/>
      </w:pPr>
      <w:r>
        <w:rPr>
          <w:rFonts w:ascii="游ゴシック" w:cs="游ゴシック" w:eastAsia="游ゴシック" w:hAnsi="游ゴシック"/>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県の通知は配布データを「参考として適切に設定願います」としており、その使用を義務づけてはいません。</w:t>
      </w:r>
    </w:p>
    <w:p>
      <w:pPr>
        <w:spacing w:after="120" w:line="300" w:lineRule="exact"/>
      </w:pPr>
      <w:r>
        <w:rPr>
          <w:rFonts w:ascii="游ゴシック" w:cs="游ゴシック" w:eastAsia="游ゴシック" w:hAnsi="游ゴシック"/>
          <w:sz w:val="21"/>
          <w:szCs w:val="21"/>
        </w:rPr>
        <w:t xml:space="preserve">当方は、ワークシートの提供を受ける前に、同じ考え方により配布データの伸び率を用いて水準を実績に合わせる方法（以下「検算①」）で算定していました。令和9年度1,004人・令和10年度995人・令和11年度987人で、国の値との差は最大7人（0.7%）です（5-2）。</w:t>
      </w:r>
    </w:p>
    <w:p>
      <w:pPr>
        <w:spacing w:after="120" w:line="300" w:lineRule="exact"/>
      </w:pPr>
      <w:r>
        <w:rPr>
          <w:rFonts w:ascii="游ゴシック" w:cs="游ゴシック" w:eastAsia="游ゴシック" w:hAnsi="游ゴシック"/>
          <w:sz w:val="21"/>
          <w:szCs w:val="21"/>
        </w:rPr>
        <w:t xml:space="preserve">配布データをそのまま用いる方法（以下「A案」）では、第1号被保険者数は令和9年946人・令和10年939人・令和11年932人となり、国の推計ワークシートの値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w:t>
      </w:r>
    </w:p>
    <w:p>
      <w:pPr>
        <w:keepNext/>
        <w:keepLines/>
        <w:spacing w:after="100" w:line="300" w:lineRule="exact"/>
      </w:pPr>
      <w:r>
        <w:rPr>
          <w:rFonts w:ascii="游ゴシック" w:cs="游ゴシック" w:eastAsia="游ゴシック" w:hAnsi="游ゴシック"/>
          <w:b/>
          <w:bCs/>
          <w:color w:val="2E75B6"/>
          <w:sz w:val="22"/>
          <w:szCs w:val="22"/>
        </w:rPr>
        <w:t xml:space="preserve">参考　国勢調査ベースの推計による算定</w:t>
      </w:r>
    </w:p>
    <w:p>
      <w:pPr>
        <w:spacing w:after="120" w:line="300" w:lineRule="exact"/>
      </w:pPr>
      <w:r>
        <w:rPr>
          <w:rFonts w:ascii="游ゴシック" w:cs="游ゴシック" w:eastAsia="游ゴシック" w:hAnsi="游ゴシック"/>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621"/>
        <w:gridCol w:w="2995"/>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808"/>
        <w:gridCol w:w="1872"/>
        <w:gridCol w:w="2059"/>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補正率</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1.0716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w:t>
      </w:r>
    </w:p>
    <w:p>
      <w:pPr>
        <w:spacing w:after="120" w:line="300" w:lineRule="exact"/>
      </w:pPr>
      <w:r>
        <w:rPr>
          <w:rFonts w:ascii="游ゴシック" w:cs="游ゴシック" w:eastAsia="游ゴシック" w:hAnsi="游ゴシック"/>
          <w:sz w:val="21"/>
          <w:szCs w:val="21"/>
        </w:rPr>
        <w:t xml:space="preserve">国の推計ワークシートの値を用います。要介護度別の実績の推移から見込んだものです。当方は、前期高齢者・後期高齢者それぞれの要介護度別認定率（令和6年度から令和8年度までの3か年平均）を第1号被保険者数に乗じる方法で算定しており、これを検算として5-3に併記します。3か年計で22人（3.4%）の差があり、原因は認定率の置き方です（5-3）。第9期計画では合計での検証のみであったため、要支援1が36%過少、要介護4が39%過大という乖離が生じても把握できませんでした（2-9）。本計画では要介護度別に算定し、毎年度検証します。</w:t>
      </w:r>
    </w:p>
    <w:p>
      <w:pPr>
        <w:keepNext/>
        <w:keepLines/>
        <w:spacing w:after="100" w:line="300" w:lineRule="exact"/>
      </w:pPr>
      <w:r>
        <w:rPr>
          <w:rFonts w:ascii="游ゴシック" w:cs="游ゴシック" w:eastAsia="游ゴシック" w:hAnsi="游ゴシック"/>
          <w:b/>
          <w:bCs/>
          <w:color w:val="2E75B6"/>
          <w:sz w:val="22"/>
          <w:szCs w:val="22"/>
        </w:rPr>
        <w:t xml:space="preserve">サービス見込量・給付費</w:t>
      </w:r>
    </w:p>
    <w:p>
      <w:pPr>
        <w:spacing w:after="120" w:line="300" w:lineRule="exact"/>
      </w:pPr>
      <w:r>
        <w:rPr>
          <w:rFonts w:ascii="游ゴシック" w:cs="游ゴシック" w:eastAsia="游ゴシック" w:hAnsi="游ゴシック"/>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4867"/>
        <w:gridCol w:w="2059"/>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国の推計ワークシートの入力値（3区分）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国の推計ワークシートの入力値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推計ワークシート）の出力は令和8年10月に提供を受けました。以下5-2から5-7は、その値を正として記載しています。ただし本村から、福祉用具購入費・住宅改修費および令和9年4月に新設されるサービスが0で入っていること、全体として暫定の数値であることの申し送りを受けています。該当する項目は5-12に一覧化しています。当方がワークシートの提供を受ける前に算定した値は、検算として各節に併記します。各節の算定の明細（用いたデータの出所・計算の過程・検算の結果）は、算定資料として別途お示し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第1号被保険者数の見込み</w:t>
      </w:r>
    </w:p>
    <w:p>
      <w:pPr>
        <w:spacing w:after="120" w:line="300" w:lineRule="exact"/>
      </w:pPr>
      <w:r>
        <w:rPr>
          <w:rFonts w:ascii="游ゴシック" w:cs="游ゴシック" w:eastAsia="游ゴシック" w:hAnsi="游ゴシック"/>
          <w:sz w:val="21"/>
          <w:szCs w:val="21"/>
        </w:rPr>
        <w:t xml:space="preserve">5-1の考え方により、国の推計ワークシートに入力した第1号被保険者数は次のとおりです。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第1号被保険者数（実績）</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404"/>
        <w:gridCol w:w="1404"/>
        <w:gridCol w:w="1498"/>
        <w:gridCol w:w="112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うち75〜84歳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うち85歳以上</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第1号被保険者計</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後期の割合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917</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65.0%</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上の表は実績、下の表は見込みです。年齢区分別の内訳は、国の様式が令和9年度以降について持つため、実績年度は合計のみを掲げています。</w:t>
      </w:r>
    </w:p>
    <w:p>
      <w:pPr>
        <w:spacing w:after="120" w:line="300" w:lineRule="exact"/>
      </w:pPr>
      <w:r>
        <w:rPr>
          <w:rFonts w:ascii="游ゴシック" w:cs="游ゴシック" w:eastAsia="游ゴシック" w:hAnsi="游ゴシック"/>
          <w:sz w:val="21"/>
          <w:szCs w:val="21"/>
        </w:rPr>
        <w:t xml:space="preserve">第1号被保険者数は令和8年度の1,009人から令和11年度の994人へ15人（1.5%）減ります。一方で後期高齢者は令和9年度の560人から令和11年度の589人へ29人（5.2%）増え、令和12年度の602人まで増加を続けます。第1号被保険者に占める後期高齢者の割合は55.8%から59.3%へ3.5ポイント上がります。認定率は後期高齢者が前期高齢者の約5倍であるため、被保険者数が減っても認定者数は増える構造です（5-3）。</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85歳以上は令和9年度の203人から令和12年度の196人まで横ばいで、増えるのは75歳から84歳の層です（令和9年度357人→令和12年度406人）。85歳以上が増えるのは令和17年度（228人）以降です。1人あたりの給付費は85歳以上が最も大きいため、第10期は給付費の単価が大きく上がる時期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本計画は、国の推計ワークシートの値を正とします。あわせて、ワークシートの提供を受ける前に当方が2つの方法で算定した値を検算として掲げます。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　厚生労働省配布の推計用人口を実績に置き直し</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検算②　国勢調査ベースの将来推計人口を乖離率で補正</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990</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検算①との差</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国の値と検算①の差は最大7人（0.7%）にとどまります。配布データをそのまま用いる方法（令和9年度946人・令和10年度939人・令和11年度932人）とは各年58人前後の差があり、国の推計ワークシートは実績に置き直した系列を用いていることが確かめられます。当方が検算①として提案していた方法と同じ考え方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合計はほぼ一致しますが、前期・後期の内訳は食い違います。検算①は前期465人・444人・424人、後期538人・551人・563人であり、後期高齢者の割合は53.6%・55.4%・57.0%となります。国の値（55.8%・57.5%・59.3%）より2.1〜2.2ポイント低い値です。国の様式は3区分（前期・75〜84歳・85歳以上）で持ち、調整交付金の後期高齢者加入割合補正係数も3区分の全国値から算出されるため、本計画は国の3区分に揃え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要支援・要介護認定者数の見込み</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国の推計ワークシートによる要支援・要介護認定者数は次のとおりです。第1号被保険者（65歳以上）の分です。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936"/>
        <w:gridCol w:w="936"/>
        <w:gridCol w:w="936"/>
        <w:gridCol w:w="936"/>
        <w:gridCol w:w="936"/>
        <w:gridCol w:w="936"/>
        <w:gridCol w:w="936"/>
        <w:gridCol w:w="842"/>
        <w:gridCol w:w="1030"/>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認定率</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単位：人　令和6年度から令和8年度までは実績、令和9年度以降が見込みです。認定率は、5-2の第1号被保険者数に対する認定者数の割合です。</w:t>
      </w:r>
    </w:p>
    <w:p>
      <w:pPr>
        <w:spacing w:after="120" w:line="300" w:lineRule="exact"/>
      </w:pPr>
      <w:r>
        <w:rPr>
          <w:rFonts w:ascii="游ゴシック" w:cs="游ゴシック" w:eastAsia="游ゴシック" w:hAnsi="游ゴシック"/>
          <w:sz w:val="21"/>
          <w:szCs w:val="21"/>
        </w:rPr>
        <w:t xml:space="preserve">第1号被保険者数が令和8年度の1,009人から令和11年度の994人へ1.5%減るにもかかわらず、認定者数は206人から210人へ4人増えます。後期高齢者の割合が高まるためです。認定率は20.4%から21.1%へ0.7ポイント上がります。</w:t>
      </w:r>
    </w:p>
    <w:p>
      <w:pPr>
        <w:spacing w:after="120" w:line="300" w:lineRule="exact"/>
      </w:pPr>
      <w:r>
        <w:rPr>
          <w:rFonts w:ascii="游ゴシック" w:cs="游ゴシック" w:eastAsia="游ゴシック" w:hAnsi="游ゴシック"/>
          <w:sz w:val="21"/>
          <w:szCs w:val="21"/>
        </w:rPr>
        <w:t xml:space="preserve">要介護度別の動きは一様ではありません。要支援1は令和8年度の50人から令和11年度の56人へ6人増える一方、要介護2は30人から24人へ6人減ります。軽度の方が増え、中重度の方は横ばいまたは減るかたちです。軽度の方の増加は、介護予防・日常生活支援総合事業と通所系サービスの需要に直接つながります（施策1-2・施策3-1）。</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2号被保険者（40歳から64歳まで）を含む総数は、令和9年度210人・令和10年度213人・令和11年度212人です。第2号被保険者の認定者は各年度2人から3人です。給付費の算定には総数を用い、認定率の算定には第1号の分を用います。</w:t>
      </w:r>
    </w:p>
    <w:p>
      <w:pPr>
        <w:keepNext/>
        <w:keepLines/>
        <w:spacing w:after="100" w:line="300" w:lineRule="exact"/>
      </w:pPr>
      <w:r>
        <w:rPr>
          <w:rFonts w:ascii="游ゴシック" w:cs="游ゴシック" w:eastAsia="游ゴシック" w:hAnsi="游ゴシック"/>
          <w:b/>
          <w:bCs/>
          <w:color w:val="2E75B6"/>
          <w:sz w:val="22"/>
          <w:szCs w:val="22"/>
        </w:rPr>
        <w:t xml:space="preserve">推計の検証　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当方は、前期高齢者・後期高齢者それぞれの要介護度別認定率（令和6年度から令和8年度までの3か年平均）を5-2の被保険者数に乗じて算定していました。用いた認定率は次のとおりです。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後期高齢者の認定率は前期高齢者の約6倍です。本村で今後認定者が増えるのは、高齢者が増えるからではなく、高齢者の中で後期高齢者の比率が上がるためです。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　②の保険料への効きは、認定者数が＋3.5%の上振れであれば給付費もおおむね同じ割合で上振れすると置き、5-7の感応度（給付費1%の上振れが月額59円）により換算したものです。</w:t>
      </w:r>
    </w:p>
    <w:p>
      <w:pPr>
        <w:spacing w:after="120" w:line="300" w:lineRule="exact"/>
      </w:pPr>
      <w:r>
        <w:rPr>
          <w:rFonts w:ascii="游ゴシック" w:cs="游ゴシック" w:eastAsia="游ゴシック" w:hAnsi="游ゴシック"/>
          <w:sz w:val="21"/>
          <w:szCs w:val="21"/>
        </w:rPr>
        <w:t xml:space="preserve">3か年計で▲22人（▲3.4%）の差です。差の原因は前期・後期の内訳ではなく、認定率の置き方にあります。当方の認定率を国の内訳（5-2）にそのまま乗じると、令和9年度220人・令和10年度224人・令和11年度228人となり、当方の検算の値（214人・217人・220人）よりさらに高くなります。第1号被保険者数に対する認定率は、国が令和9年度20.7%・令和10年度21.1%・令和11年度21.1%であるのに対し、当方の検算は同じ順に21.3%・21.7%・22.1%です。国は要介護度別の実績の推移から直接見込んでおり、要介護2が令和8年度30人から令和9年度24人へ下がるなど、直近の動きをそのまま反映しています。当方の3か年平均は、令和7年度に33人まで増えた要介護2を均してしまうため、下がる動きを拾え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認定者数は以降のサービス見込量・給付費・保険料のすべての基礎になるため、差が生じた場合は要介護度別に原因を特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介護サービス見込量</w:t>
      </w:r>
    </w:p>
    <w:p>
      <w:pPr>
        <w:spacing w:after="120" w:line="300" w:lineRule="exact"/>
      </w:pPr>
      <w:r>
        <w:rPr>
          <w:rFonts w:ascii="游ゴシック" w:cs="游ゴシック" w:eastAsia="游ゴシック" w:hAnsi="游ゴシック"/>
          <w:sz w:val="21"/>
          <w:szCs w:val="21"/>
        </w:rPr>
        <w:t xml:space="preserve">サービス種類ごとの見込量を、次の様式により算定します。実績は令和5年度から令和7年度までの3か年、見込みは計画期間の3か年を示します。</w:t>
      </w:r>
    </w:p>
    <w:p>
      <w:pPr>
        <w:spacing w:after="120" w:line="300" w:lineRule="exact"/>
      </w:pPr>
      <w:r>
        <w:rPr>
          <w:rFonts w:ascii="游ゴシック" w:cs="游ゴシック" w:eastAsia="游ゴシック" w:hAnsi="游ゴシック"/>
          <w:sz w:val="21"/>
          <w:szCs w:val="21"/>
        </w:rPr>
        <w:t xml:space="preserve">見込量は「受給者数」と「受給者1人あたり利用日数・回数」の積として算定します。本村は村内に提供事業所が3種類しかなく、多くを村外の事業所で利用しているため、村内の供給力ではなく、実際の利用実績を基礎とします。</w:t>
      </w:r>
    </w:p>
    <w:p>
      <w:pPr>
        <w:spacing w:after="120" w:line="300" w:lineRule="exact"/>
      </w:pPr>
      <w:r>
        <w:rPr>
          <w:rFonts w:ascii="游ゴシック" w:cs="游ゴシック" w:eastAsia="游ゴシック" w:hAnsi="游ゴシック"/>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基準年度とデータの月数</w:t>
      </w:r>
    </w:p>
    <w:p>
      <w:pPr>
        <w:spacing w:after="120" w:line="300" w:lineRule="exact"/>
      </w:pPr>
      <w:r>
        <w:rPr>
          <w:rFonts w:ascii="游ゴシック" w:cs="游ゴシック" w:eastAsia="游ゴシック" w:hAnsi="游ゴシック"/>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lineRule="exact"/>
      </w:pPr>
      <w:r>
        <w:rPr>
          <w:rFonts w:ascii="游ゴシック" w:cs="游ゴシック" w:eastAsia="游ゴシック" w:hAnsi="游ゴシック"/>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217"/>
        <w:gridCol w:w="1217"/>
        <w:gridCol w:w="1778"/>
        <w:gridCol w:w="2153"/>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系列</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15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11か月（令和8年3月が欠測）</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月次の推移を見る図に用いる</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D2・D3・D4（区分別受給者数／年度）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受給率の算定に用いる（÷12で月平均）</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D32系（サービス種類別／年度）</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12か月相当</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15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lineRule="exact"/>
      </w:pPr>
      <w:r>
        <w:rPr>
          <w:rFonts w:ascii="游ゴシック" w:cs="游ゴシック" w:eastAsia="游ゴシック" w:hAnsi="游ゴシック"/>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keepNext/>
        <w:keepLines/>
        <w:spacing w:after="100" w:line="300" w:lineRule="exact"/>
      </w:pPr>
      <w:r>
        <w:rPr>
          <w:rFonts w:ascii="游ゴシック" w:cs="游ゴシック" w:eastAsia="游ゴシック" w:hAnsi="游ゴシック"/>
          <w:b/>
          <w:bCs/>
          <w:color w:val="2E75B6"/>
          <w:sz w:val="22"/>
          <w:szCs w:val="22"/>
        </w:rPr>
        <w:t xml:space="preserve">利用率の分母</w:t>
      </w:r>
    </w:p>
    <w:p>
      <w:pPr>
        <w:spacing w:after="120" w:line="300" w:lineRule="exact"/>
      </w:pPr>
      <w:r>
        <w:rPr>
          <w:rFonts w:ascii="游ゴシック" w:cs="游ゴシック" w:eastAsia="游ゴシック" w:hAnsi="游ゴシック"/>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照合できた組（51件）のうち一致した数</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21件</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lineRule="exact"/>
      </w:pPr>
      <w:r>
        <w:rPr>
          <w:rFonts w:ascii="游ゴシック" w:cs="游ゴシック" w:eastAsia="游ゴシック" w:hAnsi="游ゴシック"/>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1217"/>
        <w:gridCol w:w="1217"/>
        <w:gridCol w:w="1217"/>
        <w:gridCol w:w="1217"/>
        <w:gridCol w:w="299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サービスを使っていない方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keepNext/>
        <w:keepLines/>
        <w:spacing w:after="100" w:line="300" w:lineRule="exact"/>
      </w:pPr>
      <w:r>
        <w:rPr>
          <w:rFonts w:ascii="游ゴシック" w:cs="游ゴシック" w:eastAsia="游ゴシック" w:hAnsi="游ゴシック"/>
          <w:b/>
          <w:bCs/>
          <w:color w:val="2E75B6"/>
          <w:sz w:val="22"/>
          <w:szCs w:val="22"/>
        </w:rPr>
        <w:t xml:space="preserve">算定の対象とするサービス</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5429"/>
        <w:gridCol w:w="2808"/>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令和7年度の利用</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あり（4種類）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なし（令和6年度まで）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あり（2種類）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なし（令和5年度まで）</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なし（過去のみ）</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令和5〜7年度 実績なし</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あり（3種類）</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なし（令和5年度末に廃止）</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あり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(1) 居宅サービス</w:t>
      </w:r>
    </w:p>
    <w:p>
      <w:pPr>
        <w:spacing w:after="120" w:line="300" w:lineRule="exact"/>
      </w:pPr>
      <w:r>
        <w:rPr>
          <w:rFonts w:ascii="游ゴシック" w:cs="游ゴシック" w:eastAsia="游ゴシック" w:hAnsi="游ゴシック"/>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lineRule="exact"/>
      </w:pPr>
      <w:r>
        <w:rPr>
          <w:rFonts w:ascii="游ゴシック" w:cs="游ゴシック" w:eastAsia="游ゴシック" w:hAnsi="游ゴシック"/>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編集注記：特定施設入居者生活介護は、給付費の構成比により按分した参考値です。特定福祉用具販売と住宅改修は件数の系列がないため、村の給付実績の提供を受けて記入します。</w:t>
      </w:r>
    </w:p>
    <w:p>
      <w:pPr>
        <w:keepNext/>
        <w:keepLines/>
        <w:spacing w:after="100" w:line="300" w:lineRule="exact"/>
      </w:pPr>
      <w:r>
        <w:rPr>
          <w:rFonts w:ascii="游ゴシック" w:cs="游ゴシック" w:eastAsia="游ゴシック" w:hAnsi="游ゴシック"/>
          <w:b/>
          <w:bCs/>
          <w:color w:val="2E75B6"/>
          <w:sz w:val="22"/>
          <w:szCs w:val="22"/>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030"/>
        <w:gridCol w:w="842"/>
        <w:gridCol w:w="842"/>
        <w:gridCol w:w="842"/>
        <w:gridCol w:w="936"/>
        <w:gridCol w:w="936"/>
        <w:gridCol w:w="937"/>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令和8年度に26人／月で、村内グループホームの定員27人に対する到達率は96.3%です。令和6年度の77.8%から上がり続けており、村が県に提出した見込みでは計画期間の3か年とも満床（100%）となります。村内の受け皿に余地がありません。この点は3-3の課題として扱い、施策3-2で対応を検討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令和5年度から令和7年度まで実績がないため、統合による見込量への影響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936"/>
        <w:gridCol w:w="936"/>
        <w:gridCol w:w="936"/>
        <w:gridCol w:w="1030"/>
        <w:gridCol w:w="1030"/>
        <w:gridCol w:w="935"/>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93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出典：県の施設・居住系サービスの整備量見込みシート（令和8年10月6日提出）　単位：人／月　令和6年度から令和8年度までは月平均の実績人数（四捨五入）です。</w:t>
      </w:r>
    </w:p>
    <w:p>
      <w:pPr>
        <w:spacing w:after="120" w:line="300" w:lineRule="exact"/>
      </w:pPr>
      <w:r>
        <w:rPr>
          <w:rFonts w:ascii="游ゴシック" w:cs="游ゴシック" w:eastAsia="游ゴシック" w:hAnsi="游ゴシック"/>
          <w:sz w:val="21"/>
          <w:szCs w:val="21"/>
        </w:rPr>
        <w:t xml:space="preserve">施設サービスの受給者は令和6年度の32人／月から令和8年度の28人／月へ減り、第10期は33人／月へ戻る見込みです。種類別では、介護老人福祉施設が令和6年度15人から令和8年度12人へ減る一方、介護老人保健施設は令和8年度14人から第10期18人へ増えます。村内に施設サービスの事業所はなく、村外の施設の受入れ状況に左右されるため、年度ごとの振れが大きくなります（5-4(5)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施設種類別の人数は、村が県に提出した整備量見込みシートの値に置き換えました。それまでは「見える化」システムに系列がないため区分別の受給者数を給付費の構成比で按分した参考値を用いていました。按分の値（令和6年度 介護老人福祉施設14.1人・介護老人保健施設15.9人・介護医療院1.2人）は県シートの値（15人・16人・1人）と四捨五入の範囲で一致しており、按分の方法は妥当でした。</w:t>
      </w:r>
    </w:p>
    <w:p>
      <w:pPr>
        <w:spacing w:after="120" w:line="300" w:lineRule="exact"/>
      </w:pPr>
      <w:r>
        <w:rPr>
          <w:rFonts w:ascii="游ゴシック" w:cs="游ゴシック" w:eastAsia="游ゴシック" w:hAnsi="游ゴシック"/>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995"/>
        <w:gridCol w:w="2995"/>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保険料基準額への効き</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＋225円</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(4)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3276"/>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keepNext/>
        <w:keepLines/>
        <w:spacing w:after="100" w:line="300" w:lineRule="exact"/>
      </w:pPr>
      <w:r>
        <w:rPr>
          <w:rFonts w:ascii="游ゴシック" w:cs="游ゴシック" w:eastAsia="游ゴシック" w:hAnsi="游ゴシック"/>
          <w:b/>
          <w:bCs/>
          <w:color w:val="2E75B6"/>
          <w:sz w:val="22"/>
          <w:szCs w:val="22"/>
        </w:rPr>
        <w:t xml:space="preserve">(5) 供給の制約</w:t>
      </w:r>
    </w:p>
    <w:p>
      <w:pPr>
        <w:spacing w:after="120" w:line="300" w:lineRule="exact"/>
      </w:pPr>
      <w:r>
        <w:rPr>
          <w:rFonts w:ascii="游ゴシック" w:cs="游ゴシック" w:eastAsia="游ゴシック" w:hAnsi="游ゴシック"/>
          <w:sz w:val="21"/>
          <w:szCs w:val="21"/>
        </w:rPr>
        <w:t xml:space="preserve">村内で定員が定められているサービスは、認知症対応型共同生活介護（定員27人）と通所介護（定員50人）の2種類です（2-5）。見込量が村内の定員を超えるかどうかを確かめました。認知症対応型共同生活介護は県の整備量見込みシートの値、通所介護は当方の算定による値です（令和8年度は当方の系列がないた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030"/>
        <w:gridCol w:w="936"/>
        <w:gridCol w:w="936"/>
        <w:gridCol w:w="936"/>
        <w:gridCol w:w="936"/>
        <w:gridCol w:w="936"/>
        <w:gridCol w:w="84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R8</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96.3%</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対応型共同生活介護は、村が県に提出した見込みでは計画期間の3か年とも村内定員と同じ27人であり、到達率100%（満床）となります。令和6年度21人・令和7年度24人・令和8年度26人と上がり続けており、満床は無理のない見方です。通所介護は計画期間を通じて定員を超えません。</w:t>
      </w:r>
    </w:p>
    <w:p>
      <w:pPr>
        <w:spacing w:after="120" w:line="300" w:lineRule="exact"/>
      </w:pPr>
      <w:r>
        <w:rPr>
          <w:rFonts w:ascii="游ゴシック" w:cs="游ゴシック" w:eastAsia="游ゴシック" w:hAnsi="游ゴシック"/>
          <w:sz w:val="21"/>
          <w:szCs w:val="21"/>
        </w:rPr>
        <w:t xml:space="preserve">満床の見込みであるため、認知症対応型共同生活介護の利用を新たに希望する方は、村外の施設または在宅での対応になります。増床・村外対応・在宅対応のいずれを取るかは村の判断であり、待機の状況（人数・待機期間）の把握が前提になります（5-4(8)・施策3-2）。</w:t>
      </w:r>
    </w:p>
    <w:p>
      <w:pPr>
        <w:spacing w:after="120" w:line="300" w:lineRule="exact"/>
      </w:pPr>
      <w:r>
        <w:rPr>
          <w:rFonts w:ascii="游ゴシック" w:cs="游ゴシック" w:eastAsia="游ゴシック" w:hAnsi="游ゴシック"/>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keepNext/>
        <w:keepLines/>
        <w:spacing w:after="100" w:line="300" w:lineRule="exact"/>
      </w:pPr>
      <w:r>
        <w:rPr>
          <w:rFonts w:ascii="游ゴシック" w:cs="游ゴシック" w:eastAsia="游ゴシック" w:hAnsi="游ゴシック"/>
          <w:b/>
          <w:bCs/>
          <w:color w:val="2E75B6"/>
          <w:sz w:val="22"/>
          <w:szCs w:val="22"/>
        </w:rPr>
        <w:t xml:space="preserve">(6) 見込量の自己点検</w:t>
      </w:r>
    </w:p>
    <w:p>
      <w:pPr>
        <w:spacing w:after="120" w:line="300" w:lineRule="exact"/>
      </w:pPr>
      <w:r>
        <w:rPr>
          <w:rFonts w:ascii="游ゴシック" w:cs="游ゴシック" w:eastAsia="游ゴシック" w:hAnsi="游ゴシック"/>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lineRule="exact"/>
      </w:pPr>
      <w:r>
        <w:rPr>
          <w:rFonts w:ascii="游ゴシック" w:cs="游ゴシック" w:eastAsia="游ゴシック" w:hAnsi="游ゴシック"/>
          <w:sz w:val="21"/>
          <w:szCs w:val="21"/>
        </w:rPr>
        <w:t xml:space="preserve">　変化率(%)＝（当該年度の利用者数 － 前年度の利用者数）÷ 前年度の利用者数 × 100</w:t>
      </w:r>
    </w:p>
    <w:p>
      <w:pPr>
        <w:spacing w:after="120" w:line="300" w:lineRule="exact"/>
      </w:pPr>
      <w:r>
        <w:rPr>
          <w:rFonts w:ascii="游ゴシック" w:cs="游ゴシック" w:eastAsia="游ゴシック" w:hAnsi="游ゴシック"/>
          <w:sz w:val="21"/>
          <w:szCs w:val="21"/>
        </w:rPr>
        <w:t xml:space="preserve">　閾値　＝　Q1 － 2×（Q3－Q1）　から　Q3 ＋ 2×（Q3－Q1）　まで</w:t>
      </w:r>
    </w:p>
    <w:p>
      <w:pPr>
        <w:spacing w:after="120" w:line="300" w:lineRule="exact"/>
      </w:pPr>
      <w:r>
        <w:rPr>
          <w:rFonts w:ascii="游ゴシック" w:cs="游ゴシック" w:eastAsia="游ゴシック" w:hAnsi="游ゴシック"/>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lineRule="exact"/>
      </w:pPr>
      <w:r>
        <w:rPr>
          <w:rFonts w:ascii="游ゴシック" w:cs="游ゴシック" w:eastAsia="游ゴシック" w:hAnsi="游ゴシック"/>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lineRule="exact"/>
      </w:pPr>
      <w:r>
        <w:rPr>
          <w:rFonts w:ascii="游ゴシック" w:cs="游ゴシック" w:eastAsia="游ゴシック" w:hAnsi="游ゴシック"/>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030"/>
        <w:gridCol w:w="936"/>
        <w:gridCol w:w="936"/>
        <w:gridCol w:w="936"/>
        <w:gridCol w:w="1123"/>
        <w:gridCol w:w="1123"/>
        <w:gridCol w:w="103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R10→R11</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単位：人（認定者数）、人／月（3区分）　計画期間の年度間（令和9→10→11年度）の変化率はいずれも4%以内であり、閾値を外れる可能性は低いと考えられます。</w:t>
      </w:r>
    </w:p>
    <w:p>
      <w:pPr>
        <w:spacing w:after="120" w:line="300" w:lineRule="exact"/>
      </w:pPr>
      <w:r>
        <w:rPr>
          <w:rFonts w:ascii="游ゴシック" w:cs="游ゴシック" w:eastAsia="游ゴシック" w:hAnsi="游ゴシック"/>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1123"/>
        <w:gridCol w:w="1123"/>
        <w:gridCol w:w="1123"/>
        <w:gridCol w:w="29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同じく令和7年度が3か年平均を上回る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keepNext/>
        <w:keepLines/>
        <w:spacing w:after="100" w:line="300" w:lineRule="exact"/>
      </w:pPr>
      <w:r>
        <w:rPr>
          <w:rFonts w:ascii="游ゴシック" w:cs="游ゴシック" w:eastAsia="游ゴシック" w:hAnsi="游ゴシック"/>
          <w:b/>
          <w:bCs/>
          <w:color w:val="2E75B6"/>
          <w:sz w:val="22"/>
          <w:szCs w:val="22"/>
        </w:rPr>
        <w:t xml:space="preserve">(7) 介護給付と予防給付の区分</w:t>
      </w:r>
    </w:p>
    <w:p>
      <w:pPr>
        <w:spacing w:after="120" w:line="300" w:lineRule="exact"/>
      </w:pPr>
      <w:r>
        <w:rPr>
          <w:rFonts w:ascii="游ゴシック" w:cs="游ゴシック" w:eastAsia="游ゴシック" w:hAnsi="游ゴシック"/>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keepNext/>
        <w:keepLines/>
        <w:spacing w:after="100" w:line="300" w:lineRule="exact"/>
      </w:pPr>
      <w:r>
        <w:rPr>
          <w:rFonts w:ascii="游ゴシック" w:cs="游ゴシック" w:eastAsia="游ゴシック" w:hAnsi="游ゴシック"/>
          <w:b/>
          <w:bCs/>
          <w:color w:val="2E75B6"/>
          <w:sz w:val="22"/>
          <w:szCs w:val="22"/>
        </w:rPr>
        <w:t xml:space="preserve">(8) 地域密着型サービスの必要利用定員総数</w:t>
      </w:r>
    </w:p>
    <w:p>
      <w:pPr>
        <w:spacing w:after="120" w:line="300" w:lineRule="exact"/>
      </w:pPr>
      <w:r>
        <w:rPr>
          <w:rFonts w:ascii="游ゴシック" w:cs="游ゴシック" w:eastAsia="游ゴシック" w:hAnsi="游ゴシック"/>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lineRule="exact"/>
      </w:pPr>
      <w:r>
        <w:rPr>
          <w:rFonts w:ascii="游ゴシック" w:cs="游ゴシック" w:eastAsia="游ゴシック" w:hAnsi="游ゴシック"/>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lineRule="exact"/>
      </w:pPr>
      <w:r>
        <w:rPr>
          <w:rFonts w:ascii="游ゴシック" w:cs="游ゴシック" w:eastAsia="游ゴシック" w:hAnsi="游ゴシック"/>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0.168人分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keepNext/>
        <w:keepLines/>
        <w:spacing w:after="100" w:line="300" w:lineRule="exact"/>
      </w:pPr>
      <w:r>
        <w:rPr>
          <w:rFonts w:ascii="游ゴシック" w:cs="游ゴシック" w:eastAsia="游ゴシック" w:hAnsi="游ゴシック"/>
          <w:b/>
          <w:bCs/>
          <w:color w:val="2E75B6"/>
          <w:sz w:val="22"/>
          <w:szCs w:val="22"/>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123"/>
        <w:gridCol w:w="842"/>
        <w:gridCol w:w="842"/>
        <w:gridCol w:w="842"/>
        <w:gridCol w:w="936"/>
        <w:gridCol w:w="936"/>
        <w:gridCol w:w="1031"/>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12,681</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872"/>
        <w:gridCol w:w="1872"/>
        <w:gridCol w:w="1498"/>
        <w:gridCol w:w="1498"/>
        <w:gridCol w:w="1497"/>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在宅サービス受給者数</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86.7人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91.3人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98.1人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keepNext/>
        <w:keepLines/>
        <w:spacing w:after="100" w:line="300" w:lineRule="exact"/>
      </w:pPr>
      <w:r>
        <w:rPr>
          <w:rFonts w:ascii="游ゴシック" w:cs="游ゴシック" w:eastAsia="游ゴシック" w:hAnsi="游ゴシック"/>
          <w:b/>
          <w:bCs/>
          <w:color w:val="2E75B6"/>
          <w:sz w:val="22"/>
          <w:szCs w:val="22"/>
        </w:rPr>
        <w:t xml:space="preserve">(10) 推計の不確かさ</w:t>
      </w:r>
    </w:p>
    <w:p>
      <w:pPr>
        <w:spacing w:after="120" w:line="300" w:lineRule="exact"/>
      </w:pPr>
      <w:r>
        <w:rPr>
          <w:rFonts w:ascii="游ゴシック" w:cs="游ゴシック" w:eastAsia="游ゴシック" w:hAnsi="游ゴシック"/>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単価の趨勢</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lineRule="exact"/>
      </w:pPr>
      <w:r>
        <w:rPr>
          <w:rFonts w:ascii="游ゴシック" w:cs="游ゴシック" w:eastAsia="游ゴシック" w:hAnsi="游ゴシック"/>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p>
      <w:pPr>
        <w:spacing w:after="120" w:line="300" w:lineRule="exact"/>
      </w:pPr>
      <w:r>
        <w:rPr>
          <w:rFonts w:ascii="游ゴシック" w:cs="游ゴシック" w:eastAsia="游ゴシック" w:hAnsi="游ゴシック"/>
          <w:sz w:val="21"/>
          <w:szCs w:val="21"/>
        </w:rPr>
        <w:t xml:space="preserve">あわせて、介護報酬の改定が2回分反映されていないことに留意が必要です。令和8年度の改定は基準年度である令和7年度より後の改定であるため、3か年平均の単価には含まれていません。令和9年4月の改定も改定率が示されていないため織り込んでいません。したがって本計画の給付費は、令和8年度分と令和9年度分の2回の改定を落とした水準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2434"/>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保険料基準額への換算</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233円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313円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394円</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314円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サービス別の伸びの偏り</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▲13.12%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lineRule="exact"/>
      </w:pPr>
      <w:r>
        <w:rPr>
          <w:rFonts w:ascii="游ゴシック" w:cs="游ゴシック" w:eastAsia="游ゴシック" w:hAnsi="游ゴシック"/>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2340"/>
        <w:gridCol w:w="1872"/>
        <w:gridCol w:w="2340"/>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最小</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本計画の方法</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最大</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推計そのものの誤差</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1"/>
        <w:gridCol w:w="1591"/>
        <w:gridCol w:w="2059"/>
        <w:gridCol w:w="2059"/>
        <w:gridCol w:w="2060"/>
      </w:tblGrid>
      <w:tr>
        <w:trPr>
          <w:cantSplit/>
          <w:tblHeader/>
        </w:trPr>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keepNext/>
        <w:keepLines/>
        <w:spacing w:after="100" w:line="300" w:lineRule="exact"/>
      </w:pPr>
      <w:r>
        <w:rPr>
          <w:rFonts w:ascii="游ゴシック" w:cs="游ゴシック" w:eastAsia="游ゴシック" w:hAnsi="游ゴシック"/>
          <w:b/>
          <w:bCs/>
          <w:color w:val="2E75B6"/>
          <w:sz w:val="22"/>
          <w:szCs w:val="22"/>
        </w:rPr>
        <w:t xml:space="preserve">参考　受給者1人あたり利用日数・回数の実績</w:t>
      </w:r>
    </w:p>
    <w:p>
      <w:pPr>
        <w:spacing w:after="120" w:line="300" w:lineRule="exact"/>
      </w:pPr>
      <w:r>
        <w:rPr>
          <w:rFonts w:ascii="游ゴシック" w:cs="游ゴシック" w:eastAsia="游ゴシック" w:hAnsi="游ゴシック"/>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310"/>
        <w:gridCol w:w="1778"/>
        <w:gridCol w:w="1778"/>
        <w:gridCol w:w="168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同じ方向の動きです。</w:t>
      </w:r>
    </w:p>
    <w:p>
      <w:pPr>
        <w:keepNext/>
        <w:keepLines/>
        <w:spacing w:after="100" w:line="300" w:lineRule="exact"/>
      </w:pPr>
      <w:r>
        <w:rPr>
          <w:rFonts w:ascii="游ゴシック" w:cs="游ゴシック" w:eastAsia="游ゴシック" w:hAnsi="游ゴシック"/>
          <w:b/>
          <w:bCs/>
          <w:color w:val="2E75B6"/>
          <w:sz w:val="22"/>
          <w:szCs w:val="22"/>
        </w:rPr>
        <w:t xml:space="preserve">(11) 施策の見込量への反映</w:t>
      </w:r>
    </w:p>
    <w:p>
      <w:pPr>
        <w:spacing w:after="120" w:line="300" w:lineRule="exact"/>
      </w:pPr>
      <w:r>
        <w:rPr>
          <w:rFonts w:ascii="游ゴシック" w:cs="游ゴシック" w:eastAsia="游ゴシック" w:hAnsi="游ゴシック"/>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lineRule="exact"/>
      </w:pPr>
      <w:r>
        <w:rPr>
          <w:rFonts w:ascii="游ゴシック" w:cs="游ゴシック" w:eastAsia="游ゴシック" w:hAnsi="游ゴシック"/>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2995"/>
        <w:gridCol w:w="2433"/>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反映の条件</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織り込んでいない。受給率は令和5〜7年度の3か年平均を固定。総合事業の訪問型A〜D・通所型A〜Cは令和5年度の決算で事業費の計上がないため0（5-5）</w:t>
            </w:r>
          </w:p>
        </w:tc>
        <w:tc>
          <w:tcPr>
            <w:tcW w:type="dxa" w:w="243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keepNext/>
        <w:keepLines/>
        <w:spacing w:after="100" w:line="300" w:lineRule="exact"/>
      </w:pPr>
      <w:r>
        <w:rPr>
          <w:rFonts w:ascii="游ゴシック" w:cs="游ゴシック" w:eastAsia="游ゴシック" w:hAnsi="游ゴシック"/>
          <w:b/>
          <w:bCs/>
          <w:color w:val="2E75B6"/>
          <w:sz w:val="22"/>
          <w:szCs w:val="22"/>
        </w:rPr>
        <w:t xml:space="preserve">(12) 需要に対する供給（担い手の枠）</w:t>
      </w:r>
    </w:p>
    <w:p>
      <w:pPr>
        <w:spacing w:after="120" w:line="300" w:lineRule="exact"/>
      </w:pPr>
      <w:r>
        <w:rPr>
          <w:rFonts w:ascii="游ゴシック" w:cs="游ゴシック" w:eastAsia="游ゴシック" w:hAnsi="游ゴシック"/>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lineRule="exact"/>
      </w:pPr>
      <w:r>
        <w:rPr>
          <w:rFonts w:ascii="游ゴシック" w:cs="游ゴシック" w:eastAsia="游ゴシック" w:hAnsi="游ゴシック"/>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591"/>
        <w:gridCol w:w="1591"/>
        <w:gridCol w:w="1591"/>
        <w:gridCol w:w="1592"/>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134人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13人</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89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62625" cy="38957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図5-1　需要に対する供給（担い手の枠）</w:t>
      </w:r>
    </w:p>
    <w:p>
      <w:pPr>
        <w:spacing w:after="200"/>
        <w:jc w:val="center"/>
      </w:pPr>
      <w:r>
        <w:rPr>
          <w:rFonts w:ascii="游ゴシック" w:cs="游ゴシック" w:eastAsia="游ゴシック" w:hAnsi="游ゴシック"/>
          <w:color w:val="595959"/>
          <w:sz w:val="16"/>
          <w:szCs w:val="16"/>
        </w:rPr>
        <w:t xml:space="preserve">出典：総務省「国勢調査」、国立社会保障・人口問題研究所「日本の地域別将来推計人口」、地域包括ケア「見える化」システムにより算定</w:t>
      </w:r>
    </w:p>
    <w:p>
      <w:pPr>
        <w:spacing w:after="120" w:line="300" w:lineRule="exact"/>
      </w:pPr>
      <w:r>
        <w:rPr>
          <w:rFonts w:ascii="游ゴシック" w:cs="游ゴシック" w:eastAsia="游ゴシック" w:hAnsi="游ゴシック"/>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lineRule="exact"/>
      </w:pPr>
      <w:r>
        <w:rPr>
          <w:rFonts w:ascii="游ゴシック" w:cs="游ゴシック" w:eastAsia="游ゴシック" w:hAnsi="游ゴシック"/>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404"/>
        <w:gridCol w:w="1404"/>
        <w:gridCol w:w="1404"/>
        <w:gridCol w:w="1404"/>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4.99人</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keepNext/>
        <w:keepLines/>
        <w:spacing w:after="100" w:line="300" w:lineRule="exact"/>
      </w:pPr>
      <w:r>
        <w:rPr>
          <w:rFonts w:ascii="游ゴシック" w:cs="游ゴシック" w:eastAsia="游ゴシック" w:hAnsi="游ゴシック"/>
          <w:b/>
          <w:bCs/>
          <w:color w:val="2E75B6"/>
          <w:sz w:val="22"/>
          <w:szCs w:val="22"/>
        </w:rPr>
        <w:t xml:space="preserve">(13) 真に入所が必要と判断される被保険者の把握</w:t>
      </w:r>
    </w:p>
    <w:p>
      <w:pPr>
        <w:spacing w:after="120" w:line="300" w:lineRule="exact"/>
      </w:pPr>
      <w:r>
        <w:rPr>
          <w:rFonts w:ascii="游ゴシック" w:cs="游ゴシック" w:eastAsia="游ゴシック" w:hAnsi="游ゴシック"/>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2808"/>
        <w:gridCol w:w="2340"/>
        <w:gridCol w:w="3744"/>
      </w:tblGrid>
      <w:tr>
        <w:trPr>
          <w:cantSplit/>
          <w:tblHeader/>
        </w:trPr>
        <w:tc>
          <w:tcPr>
            <w:tcW w:type="dxa" w:w="46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用いる場面</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令和8年10月に回収。対象118人。3区分への分け方は集計仕様書に定めてある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rPr>
          <w:cantSplit/>
        </w:trPr>
        <w:tc>
          <w:tcPr>
            <w:tcW w:type="dxa" w:w="46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keepNext/>
        <w:keepLines/>
        <w:spacing w:after="100" w:line="300" w:lineRule="exact"/>
      </w:pPr>
      <w:r>
        <w:rPr>
          <w:rFonts w:ascii="游ゴシック" w:cs="游ゴシック" w:eastAsia="游ゴシック" w:hAnsi="游ゴシック"/>
          <w:b/>
          <w:bCs/>
          <w:color w:val="2E75B6"/>
          <w:sz w:val="22"/>
          <w:szCs w:val="22"/>
        </w:rPr>
        <w:t xml:space="preserve">(14) 24時間対応サービスの確保方策</w:t>
      </w:r>
    </w:p>
    <w:p>
      <w:pPr>
        <w:spacing w:after="120" w:line="300" w:lineRule="exact"/>
      </w:pPr>
      <w:r>
        <w:rPr>
          <w:rFonts w:ascii="游ゴシック" w:cs="游ゴシック" w:eastAsia="游ゴシック" w:hAnsi="游ゴシック"/>
          <w:sz w:val="21"/>
          <w:szCs w:val="21"/>
        </w:rPr>
        <w:t xml:space="preserve">介護保険法第117条第2項第1号に基づき見込むサービスのうち、24時間の対応を担うのは定期巡回・随時対応型訪問介護看護と夜間対応型訪問介護です。本村はいずれも利用実績がなく、村内に事業所もありません。一方で、令和8年法律第51号により夜間対応型訪問介護は廃止され定期巡回・随時対応型訪問介護看護に統合されるため、第10期は定期巡回の1区分で考えることになります。</w:t>
      </w:r>
    </w:p>
    <w:p>
      <w:pPr>
        <w:spacing w:after="120" w:line="300" w:lineRule="exact"/>
      </w:pPr>
      <w:r>
        <w:rPr>
          <w:rFonts w:ascii="游ゴシック" w:cs="游ゴシック" w:eastAsia="游ゴシック" w:hAnsi="游ゴシック"/>
          <w:sz w:val="21"/>
          <w:szCs w:val="21"/>
        </w:rPr>
        <w:t xml:space="preserve">本村の規模では単独の事業所が成り立つ利用者数に届きません。第10期において取り得る方策を次のとおり整理します。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3557"/>
        <w:gridCol w:w="3931"/>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方策</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本村における見込み</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村外事業所による提供</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通常の事業実施地域に本村を含む村外の事業所から提供を受ける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現に訪問介護・訪問看護は村外事業所から提供を受けています。ただし定期巡回は1日複数回の訪問を要するため、移動距離が制約となります。事業実施地域の確認が必要です（5-12(1)）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特定地域サービスの活用</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中山間・人口減少地域に限り、管理者・専門職の常勤専従要件および夜勤要件等の人員配置基準が弾力化され、報酬に月単位の包括払いを選択できる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本村は特定地域に該当する見込みです（1-8の4）。人員配置と報酬の両面で成立の余地が広がるため、最も現実的な選択肢です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特定地域居宅サービス等事業</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地域のサービス提供主体が少ない場合に、村が事業として居宅介護サービス等を実施できる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村が主体となるため人員の確保が課題となります。既存の訪問介護事業所がない本村では、②が成立しない場合の次の手段と位置づけます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既存サービスの組合せによる代替</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訪問介護・訪問看護・小規模多機能型居宅介護の組合せにより夜間・早朝の対応を確保する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村内に小規模多機能型居宅介護はありません。訪問系の組合せでは随時の対応を担保できないため、代替としては不完全です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以上から、第10期は②特定地域サービスの活用を軸に、①の村外事業所による提供の可否を確認しながら進めます。見込量としては、実績がなく事業所の参入も確定していないため0人／月として計上し、②または①が具体化した時点で計画期間中に見直します（6-5）。</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特定地域サービスの指定は村の意向を踏まえて都道府県が定めます。本計画に確保方策として記載することが手続の起点になるため、②を活用する意向の有無を村に確認します（1-8の4の注記と同じ確認事項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地域支援事業の見込み</w:t>
      </w:r>
    </w:p>
    <w:p>
      <w:pPr>
        <w:keepNext/>
        <w:keepLines/>
        <w:spacing w:after="100" w:line="300" w:lineRule="exact"/>
      </w:pPr>
      <w:r>
        <w:rPr>
          <w:rFonts w:ascii="游ゴシック" w:cs="游ゴシック" w:eastAsia="游ゴシック" w:hAnsi="游ゴシック"/>
          <w:b/>
          <w:bCs/>
          <w:color w:val="2E75B6"/>
          <w:sz w:val="22"/>
          <w:szCs w:val="22"/>
        </w:rPr>
        <w:t xml:space="preserve">(1) 地域支援事業の量の見込み</w:t>
      </w:r>
    </w:p>
    <w:p>
      <w:pPr>
        <w:spacing w:after="120" w:line="300" w:lineRule="exact"/>
      </w:pPr>
      <w:r>
        <w:rPr>
          <w:rFonts w:ascii="游ゴシック" w:cs="游ゴシック" w:eastAsia="游ゴシック" w:hAnsi="游ゴシック"/>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4"/>
        <w:gridCol w:w="1030"/>
        <w:gridCol w:w="842"/>
        <w:gridCol w:w="842"/>
        <w:gridCol w:w="842"/>
        <w:gridCol w:w="1030"/>
        <w:gridCol w:w="1030"/>
        <w:gridCol w:w="1030"/>
      </w:tblGrid>
      <w:tr>
        <w:trPr>
          <w:cantSplit/>
          <w:tblHeader/>
        </w:trPr>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274</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「0」は令和5年度の決算で事業費の計上がないことを、「―」は村からの実績の提供を受けていないことを示します。</w:t>
      </w:r>
    </w:p>
    <w:p>
      <w:pPr>
        <w:keepNext/>
        <w:keepLines/>
        <w:spacing w:after="100" w:line="300" w:lineRule="exact"/>
      </w:pPr>
      <w:r>
        <w:rPr>
          <w:rFonts w:ascii="游ゴシック" w:cs="游ゴシック" w:eastAsia="游ゴシック" w:hAnsi="游ゴシック"/>
          <w:b/>
          <w:bCs/>
          <w:color w:val="2E75B6"/>
          <w:sz w:val="22"/>
          <w:szCs w:val="22"/>
        </w:rPr>
        <w:t xml:space="preserve">量の見込みの立て方</w:t>
      </w:r>
    </w:p>
    <w:p>
      <w:pPr>
        <w:spacing w:after="120" w:line="300" w:lineRule="exact"/>
      </w:pPr>
      <w:r>
        <w:rPr>
          <w:rFonts w:ascii="游ゴシック" w:cs="游ゴシック" w:eastAsia="游ゴシック" w:hAnsi="游ゴシック"/>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217"/>
        <w:gridCol w:w="1217"/>
        <w:gridCol w:w="131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令和8年を100としたときの増減率です。認定者数は5-3の見込み（214人→214人→217人→220人）、第1号被保険者数は5-2の見込み（1,012人→1,004人→995人→987人）によります。</w:t>
      </w:r>
    </w:p>
    <w:p>
      <w:pPr>
        <w:spacing w:after="120" w:line="300" w:lineRule="exact"/>
      </w:pPr>
      <w:r>
        <w:rPr>
          <w:rFonts w:ascii="游ゴシック" w:cs="游ゴシック" w:eastAsia="游ゴシック" w:hAnsi="游ゴシック"/>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編集注記：「―」の事業は、村から事業別の実績（資料提供確認依頼書 管理番号25〜39）の提供を受けて記入します。訪問型サービスA〜D・通所型サービスA〜Cは令和5年度の決算で事業費の計上がないため「0」で立てましたが、施策1-2で創設を検討することとしているため、実施を決定した場合は見込量に計上して差し替えます。</w:t>
      </w:r>
    </w:p>
    <w:p>
      <w:pPr>
        <w:keepNext/>
        <w:keepLines/>
        <w:spacing w:after="100" w:line="300" w:lineRule="exact"/>
      </w:pPr>
      <w:r>
        <w:rPr>
          <w:rFonts w:ascii="游ゴシック" w:cs="游ゴシック" w:eastAsia="游ゴシック" w:hAnsi="游ゴシック"/>
          <w:b/>
          <w:bCs/>
          <w:color w:val="2E75B6"/>
          <w:sz w:val="22"/>
          <w:szCs w:val="22"/>
        </w:rPr>
        <w:t xml:space="preserve">(2) 地域支援事業費の見込み</w:t>
      </w:r>
    </w:p>
    <w:p>
      <w:pPr>
        <w:spacing w:after="120" w:line="300" w:lineRule="exact"/>
      </w:pPr>
      <w:r>
        <w:rPr>
          <w:rFonts w:ascii="游ゴシック" w:cs="游ゴシック" w:eastAsia="游ゴシック" w:hAnsi="游ゴシック"/>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123"/>
        <w:gridCol w:w="1123"/>
        <w:gridCol w:w="1217"/>
        <w:gridCol w:w="1217"/>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17,896</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16,101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1,794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23,027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40,922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lineRule="exact"/>
      </w:pPr>
      <w:r>
        <w:rPr>
          <w:rFonts w:ascii="游ゴシック" w:cs="游ゴシック" w:eastAsia="游ゴシック" w:hAnsi="游ゴシック"/>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lineRule="exact"/>
      </w:pPr>
      <w:r>
        <w:rPr>
          <w:rFonts w:ascii="游ゴシック" w:cs="游ゴシック" w:eastAsia="游ゴシック" w:hAnsi="游ゴシック"/>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総合事業のうち、訪問型サービスA〜D・通所型サービスA〜C・見守り・配食は令和5年度の決算で事業費の計上がありません（2-6）。施策1-2でこれらの創設を検討することとしているため、実施する場合は見込量に反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標準給付費の見込み</w:t>
      </w:r>
    </w:p>
    <w:p>
      <w:pPr>
        <w:spacing w:after="120" w:line="300" w:lineRule="exact"/>
      </w:pPr>
      <w:r>
        <w:rPr>
          <w:rFonts w:ascii="游ゴシック" w:cs="游ゴシック" w:eastAsia="游ゴシック" w:hAnsi="游ゴシック"/>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310"/>
        <w:gridCol w:w="1310"/>
        <w:gridCol w:w="1310"/>
        <w:gridCol w:w="168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43,488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20,307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49,389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介護給付費と予防給付費の分離</w:t>
      </w:r>
    </w:p>
    <w:p>
      <w:pPr>
        <w:spacing w:after="120" w:line="300" w:lineRule="exact"/>
      </w:pPr>
      <w:r>
        <w:rPr>
          <w:rFonts w:ascii="游ゴシック" w:cs="游ゴシック" w:eastAsia="游ゴシック" w:hAnsi="游ゴシック"/>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1310"/>
        <w:gridCol w:w="1404"/>
        <w:gridCol w:w="1310"/>
        <w:gridCol w:w="1404"/>
        <w:gridCol w:w="1404"/>
        <w:gridCol w:w="1405"/>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介護の単価</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176,605円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172,610円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176,475円</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175,230円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lineRule="exact"/>
      </w:pPr>
      <w:r>
        <w:rPr>
          <w:rFonts w:ascii="游ゴシック" w:cs="游ゴシック" w:eastAsia="游ゴシック" w:hAnsi="游ゴシック"/>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lineRule="exact"/>
      </w:pPr>
      <w:r>
        <w:rPr>
          <w:rFonts w:ascii="游ゴシック" w:cs="游ゴシック" w:eastAsia="游ゴシック" w:hAnsi="游ゴシック"/>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lineRule="exact"/>
      </w:pPr>
      <w:r>
        <w:rPr>
          <w:rFonts w:ascii="游ゴシック" w:cs="游ゴシック" w:eastAsia="游ゴシック" w:hAnsi="游ゴシック"/>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keepNext/>
        <w:keepLines/>
        <w:spacing w:after="100" w:line="300" w:lineRule="exact"/>
      </w:pPr>
      <w:r>
        <w:rPr>
          <w:rFonts w:ascii="游ゴシック" w:cs="游ゴシック" w:eastAsia="游ゴシック" w:hAnsi="游ゴシック"/>
          <w:b/>
          <w:bCs/>
          <w:color w:val="2E75B6"/>
          <w:sz w:val="22"/>
          <w:szCs w:val="22"/>
        </w:rPr>
        <w:t xml:space="preserve">補助給付等の対標準給付費比</w:t>
      </w:r>
    </w:p>
    <w:p>
      <w:pPr>
        <w:spacing w:after="120" w:line="300" w:lineRule="exact"/>
      </w:pPr>
      <w:r>
        <w:rPr>
          <w:rFonts w:ascii="游ゴシック" w:cs="游ゴシック" w:eastAsia="游ゴシック" w:hAnsi="游ゴシック"/>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比率</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cantSplit/>
          <w:tblHeader/>
        </w:trPr>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保険料基準額の月額</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＋96円</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66"/>
        <w:gridCol w:w="2340"/>
        <w:gridCol w:w="1778"/>
        <w:gridCol w:w="3276"/>
      </w:tblGrid>
      <w:tr>
        <w:trPr>
          <w:cantSplit/>
          <w:tblHeader/>
        </w:trPr>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対前年</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244,097</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247,333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258,848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村からの提供待ち</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r>
        <w:trPr>
          <w:cantSplit/>
        </w:trPr>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本推計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spacing w:after="120" w:line="300" w:lineRule="exact"/>
      </w:pPr>
      <w:r>
        <w:rPr>
          <w:rFonts w:ascii="游ゴシック" w:cs="游ゴシック" w:eastAsia="游ゴシック" w:hAnsi="游ゴシック"/>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keepNext/>
        <w:keepLines/>
        <w:spacing w:after="100" w:line="300" w:lineRule="exact"/>
      </w:pPr>
      <w:r>
        <w:rPr>
          <w:rFonts w:ascii="游ゴシック" w:cs="游ゴシック" w:eastAsia="游ゴシック" w:hAnsi="游ゴシック"/>
          <w:b/>
          <w:bCs/>
          <w:color w:val="2E75B6"/>
          <w:sz w:val="22"/>
          <w:szCs w:val="22"/>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14,495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39,885</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keepNext/>
        <w:keepLines/>
        <w:spacing w:after="100" w:line="300" w:lineRule="exact"/>
      </w:pPr>
      <w:r>
        <w:rPr>
          <w:rFonts w:ascii="游ゴシック" w:cs="游ゴシック" w:eastAsia="游ゴシック" w:hAnsi="游ゴシック"/>
          <w:b/>
          <w:bCs/>
          <w:color w:val="2E75B6"/>
          <w:sz w:val="22"/>
          <w:szCs w:val="22"/>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621"/>
        <w:gridCol w:w="262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実績・見込</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266,191千円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271,863千円</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280,366千円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編集注記：令和6年度決算および令和7年度の給付費見込の提供を受けたうえで、第9期の乖離を確定させ、本計画の推計の基礎とします。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第1号被保険者の保険料</w:t>
      </w:r>
    </w:p>
    <w:p>
      <w:pPr>
        <w:keepNext/>
        <w:keepLines/>
        <w:spacing w:after="100" w:line="300" w:lineRule="exact"/>
      </w:pPr>
      <w:r>
        <w:rPr>
          <w:rFonts w:ascii="游ゴシック" w:cs="游ゴシック" w:eastAsia="游ゴシック" w:hAnsi="游ゴシック"/>
          <w:b/>
          <w:bCs/>
          <w:color w:val="2E75B6"/>
          <w:sz w:val="22"/>
          <w:szCs w:val="22"/>
        </w:rPr>
        <w:t xml:space="preserve">第10期の保険料基準額</w:t>
      </w:r>
    </w:p>
    <w:p>
      <w:pPr>
        <w:spacing w:after="120" w:line="300" w:lineRule="exact"/>
      </w:pPr>
      <w:r>
        <w:rPr>
          <w:rFonts w:ascii="游ゴシック" w:cs="游ゴシック" w:eastAsia="游ゴシック" w:hAnsi="游ゴシック"/>
          <w:sz w:val="21"/>
          <w:szCs w:val="21"/>
        </w:rPr>
        <w:t xml:space="preserve">国の推計ワークシート（将来推計総括表）による第10期の保険料基準額は、月額5,513.72円です。第9期の6,760.76円に対し1,247.04円（▲18.45%）の引下げとなります。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808"/>
        <w:gridCol w:w="2808"/>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5,411.96円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1,391.37円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1,925.81円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2,094.77円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その他給付費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382.54円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931.22円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市町村特別給付費等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▲115.17円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準備基金取崩額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1,096.83円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基準保険料額（月額）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在宅・居住系・施設サービスは総給付費の内訳です。市町村特別給付費等が負の値であるのは、保険者機能強化推進交付金の交付見込額（3か年4,200,000円）が負の調整として入っているためです。</w:t>
      </w:r>
    </w:p>
    <w:p>
      <w:pPr>
        <w:spacing w:after="120" w:line="300" w:lineRule="exact"/>
      </w:pPr>
      <w:r>
        <w:rPr>
          <w:rFonts w:ascii="游ゴシック" w:cs="游ゴシック" w:eastAsia="游ゴシック" w:hAnsi="游ゴシック"/>
          <w:sz w:val="21"/>
          <w:szCs w:val="21"/>
        </w:rPr>
        <w:t xml:space="preserve">給付費のうち61%が施設・居住系サービスです（居住系29%・施設32%）。在宅サービスは21%にとどまります。村内に施設サービスの事業所がなく、多くを村外の施設で利用している構造が保険料にそのまま表れています（2-5・5-4(5)）。</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w:t>
      </w:r>
    </w:p>
    <w:p>
      <w:pPr>
        <w:spacing w:after="120" w:line="300" w:lineRule="exact"/>
      </w:pPr>
      <w:r>
        <w:rPr>
          <w:rFonts w:ascii="游ゴシック" w:cs="游ゴシック" w:eastAsia="游ゴシック" w:hAnsi="游ゴシック"/>
          <w:sz w:val="21"/>
          <w:szCs w:val="21"/>
        </w:rPr>
        <w:t xml:space="preserve">介護給付費準備基金の残高（令和8年度末の見込額）は42,128,183円で、このうち40,000,000円（94.9%）を取り崩す前提で算定されています。取崩しにより保険料基準額は月額1,096.83円下がっており、取崩しを行わない場合の基準額は6,610.55円となります。</w:t>
      </w:r>
    </w:p>
    <w:p>
      <w:pPr>
        <w:spacing w:after="120" w:line="300" w:lineRule="exact"/>
      </w:pPr>
      <w:r>
        <w:rPr>
          <w:rFonts w:ascii="游ゴシック" w:cs="游ゴシック" w:eastAsia="游ゴシック" w:hAnsi="游ゴシック"/>
          <w:sz w:val="21"/>
          <w:szCs w:val="21"/>
        </w:rPr>
        <w:t xml:space="preserve">第9期より下がる理由は総給付費です。収納必要額ベースでみると第9期の7,496.25円から6,610.55円へ885.70円下がり、そのうち総給付費が940.31円を占めます。第9期計画は総給付費を実績より大きく見込んでいました。第10期の見込み（令和9年度284,184千円・令和10年度286,250千円・令和11年度288,448千円）は、令和8年度の実績286,016千円とほぼ同水準です。つまり第10期が低いのではなく、第9期計画が過大でした（2-9）。</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厚生労働省の事務連絡は、保険料が第9期と比べて大きく増減している場合には誤入力等がないか推計データ全体を確認することを求めています。本村は▲18.45%であるためこれに当たり、確認を行いました。令和6年度・令和7年度に実績があるのに令和8年度が0で入っているサービスが10件あり、うち6件は令和9年度以降も0です。この6件（介護予防短期入所生活介護・訪問入浴介護・短期入所療養介護（老健）・特定福祉用具購入費・住宅改修費・地域密着型通所介護）の扱いは、村に確認のうえ確定します（5-12）。</w:t>
      </w:r>
    </w:p>
    <w:p>
      <w:pPr>
        <w:keepNext/>
        <w:keepLines/>
        <w:spacing w:after="100" w:line="300" w:lineRule="exact"/>
      </w:pPr>
      <w:r>
        <w:rPr>
          <w:rFonts w:ascii="游ゴシック" w:cs="游ゴシック" w:eastAsia="游ゴシック" w:hAnsi="游ゴシック"/>
          <w:b/>
          <w:bCs/>
          <w:color w:val="2E75B6"/>
          <w:sz w:val="22"/>
          <w:szCs w:val="22"/>
        </w:rPr>
        <w:t xml:space="preserve">確定した算定の係数</w:t>
      </w:r>
    </w:p>
    <w:p>
      <w:pPr>
        <w:spacing w:after="120" w:line="300" w:lineRule="exact"/>
      </w:pPr>
      <w:r>
        <w:rPr>
          <w:rFonts w:ascii="游ゴシック" w:cs="游ゴシック" w:eastAsia="游ゴシック" w:hAnsi="游ゴシック"/>
          <w:sz w:val="21"/>
          <w:szCs w:val="21"/>
        </w:rPr>
        <w:t xml:space="preserve">国の推計ワークシートにより、保険料に効く係数が確定しました。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係数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調整交付金見込交付割合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0.9652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0.9790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0.9951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1.0193</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負担割合は第9期と同じ23%で据え置かれました（第11期24%・第12期25%・第14期26%・第16期27%・第17期28%の仮置値が参考として示されています）。本村では1ポイントで月額約294円であるため、第10期の保険料には上昇要因として働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調整交付金の見込交付割合について、当方はワークシートの提供を受ける前に第9期計画から復元して4.10%から4.32%と置いていました。国の値はこれを1.0ポイント以上上回ります。0.1ポイントで月額約26円効くため、1.0ポイントで約260円の差になります。この値が県から示されたものか村が入力したものかを確認します（5-12）。後期高齢者加入割合補正係数と所得段階別加入割合補正係数は、参考シートの全国値（仮置値）から算出された暫定値です。</w:t>
      </w:r>
    </w:p>
    <w:p>
      <w:pPr>
        <w:keepNext/>
        <w:keepLines/>
        <w:spacing w:after="100" w:line="300" w:lineRule="exact"/>
      </w:pPr>
      <w:r>
        <w:rPr>
          <w:rFonts w:ascii="游ゴシック" w:cs="游ゴシック" w:eastAsia="游ゴシック" w:hAnsi="游ゴシック"/>
          <w:b/>
          <w:bCs/>
          <w:color w:val="2E75B6"/>
          <w:sz w:val="22"/>
          <w:szCs w:val="22"/>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本村の保険料は第8期に県平均を上回り、第9期ではその差が360円に拡大しています。一方、第1号被保険者1人1月あたりの費用額は県内59保険者中45番目と低い水準にあります。</w:t>
      </w:r>
    </w:p>
    <w:p>
      <w:pPr>
        <w:spacing w:after="120" w:line="300" w:lineRule="exact"/>
      </w:pPr>
      <w:r>
        <w:rPr>
          <w:rFonts w:ascii="游ゴシック" w:cs="游ゴシック" w:eastAsia="游ゴシック" w:hAnsi="游ゴシック"/>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lineRule="exact"/>
      </w:pPr>
      <w:r>
        <w:rPr>
          <w:rFonts w:ascii="游ゴシック" w:cs="游ゴシック" w:eastAsia="游ゴシック" w:hAnsi="游ゴシック"/>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keepNext/>
        <w:keepLines/>
        <w:spacing w:after="100" w:line="300" w:lineRule="exact"/>
      </w:pPr>
      <w:r>
        <w:rPr>
          <w:rFonts w:ascii="游ゴシック" w:cs="游ゴシック" w:eastAsia="游ゴシック" w:hAnsi="游ゴシック"/>
          <w:b/>
          <w:bCs/>
          <w:color w:val="2E75B6"/>
          <w:sz w:val="22"/>
          <w:szCs w:val="22"/>
        </w:rPr>
        <w:t xml:space="preserve">介護給付費準備基金の取崩しの水準</w:t>
      </w:r>
    </w:p>
    <w:p>
      <w:pPr>
        <w:spacing w:after="120" w:line="300" w:lineRule="exact"/>
      </w:pPr>
      <w:r>
        <w:rPr>
          <w:rFonts w:ascii="游ゴシック" w:cs="游ゴシック" w:eastAsia="游ゴシック" w:hAnsi="游ゴシック"/>
          <w:sz w:val="21"/>
          <w:szCs w:val="21"/>
        </w:rPr>
        <w:t xml:space="preserve">国の推計ワークシートは残高の94.9%を取り崩す前提で立っており、第10期で基金をほぼ使い切ります。第11期には取崩しの余地が残らないため、ワークシートは第11期の保険料基準額を月額7,301.29円（第10期比＋1,788円・＋32.4%）と出力しています。取崩額をいくらにするかは、第10期を下げるほど第11期の上がり幅が大きくなる関係にあり、世代間の負担の公平に関わる村の判断です。</w:t>
      </w:r>
    </w:p>
    <w:p>
      <w:pPr>
        <w:spacing w:after="120" w:line="300" w:lineRule="exact"/>
      </w:pPr>
      <w:r>
        <w:rPr>
          <w:rFonts w:ascii="游ゴシック" w:cs="游ゴシック" w:eastAsia="游ゴシック" w:hAnsi="游ゴシック"/>
          <w:sz w:val="21"/>
          <w:szCs w:val="21"/>
        </w:rPr>
        <w:t xml:space="preserve">取崩額を3つの水準に置いて算定しました。第10期の算定上の月額、条例上の基準額（百円未満切捨て。本節の後段のとおり第9期の実例に合わせたものです）、第9期の条例基準額6,700円との差、第11期に残る残高と第11期の基準額、残高が吸収できる推計の誤差の大きさを並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1123"/>
        <w:gridCol w:w="1030"/>
        <w:gridCol w:w="936"/>
        <w:gridCol w:w="842"/>
        <w:gridCol w:w="1123"/>
        <w:gridCol w:w="842"/>
        <w:gridCol w:w="937"/>
      </w:tblGrid>
      <w:tr>
        <w:trPr>
          <w:cantSplit/>
          <w:tblHeader/>
        </w:trPr>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第10期（算定上）</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第11期（条例上）</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　基金を取り崩さない</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6,610.55円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B案　第9期と同程度に取り崩す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5,952.45円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　国の推計ワークシートの前提どおり取り崩す</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条例基準額は6,700円です。A案（基金を取り崩さない）でも条例上の基準額は6,600円となり、第9期を100円下回ります。取崩しをしなくても保険料は下がるということです。C案（国の推計ワークシートの前提どおり取り崩す）では5,500円（▲1,200円）となります。</w:t>
      </w:r>
    </w:p>
    <w:p>
      <w:pPr>
        <w:spacing w:after="120" w:line="300" w:lineRule="exact"/>
      </w:pPr>
      <w:r>
        <w:rPr>
          <w:rFonts w:ascii="游ゴシック" w:cs="游ゴシック" w:eastAsia="游ゴシック" w:hAnsi="游ゴシック"/>
          <w:sz w:val="21"/>
          <w:szCs w:val="21"/>
        </w:rPr>
        <w:t xml:space="preserve">一方、第11期は逆の向きに動きます。A案では第11期が6,133.10円で第10期を7.2%下回りますが、C案では7,242.28円で31.4%上回ります。第10期で取り崩さずに残した分が、そのまま第11期の原資になるためです。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11期の基準額は当方の試算です。国の中長期シートは第11期を令和12年度の単年で立てており、第11期の所得段階別加入割合補正後被保険者数を持ちません。このため令和12年度の第1号被保険者数988人に所得段階別加入割合補正係数1.0190と12か月・予定保険料収納率99.50%を乗じて分母を組み、3か年に均した36,063人・月で残高を割っています。保険料は期を通じて同一に定めるため、残高を充てる効きは3か年の分母で割った値になります。シートの取崩額の欄に残高をそのまま入れると単年の分母（12,021人・月）で割られ、3倍大きく出ます（A案では3,796.70円）。これはシートが第11期を単年で立てていることによるもので、期の保険料の姿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分母の組み方が妥当かを、同じ組み方で第10期の分母を復元して確かめました。ワークシートの値（取崩額÷影響額）は36,469人・月、当方の組み方による復元は36,499人・月で、差は＋0.08%です。この差は第11期の基準額に換算すると月額5円以内にとどま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は第11期の取崩額を0としているため、同シートの第11期の出力は7,301.29円です。上表のC案の第11期（算定上7,242.28円）は、残る残高2,128,183円を第11期に充てた場合の値であり、充てない場合はシートどおりの7,301.29円になりま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5-4(10)③のとおり、本村の規模では推計の誤差が絶対値の平均で11.9%あり、保険料に換算すると月額約700円です。上表の「残高の緩衝力」は、計画した取崩しを行った後に残る額が、月額何円分の誤差を吸収できるかを示したものです。第10期の期間中に給付費が上振れした場合の備えであり、同時に第11期の原資にもなります。C案では月額58円分で、約700円の誤差を吸収できません。B案では月額497円分、A案では月額1,155円分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条例上の基準額は百円未満を切り捨てたものです。第9期は算定上6,760.76円に対し条例6,700円であり、四捨五入（6,800円）では説明できないためです（本節の後段）。四捨五入で置くとB案の第10期が6,000円・第11期が6,800円となり、切捨てとは100円異なります。百円未満の処理は村の条例の定め方によるため、確かめたうえで確定します（5-12）。</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したがって取崩額の判断は、第10期の保険料を下げること、第11期の上がり幅を和らげること、推計の誤差に備えることの3つの兼ね合いになります。当方からは案を示すにとどめ、どの水準を採るかは第2回策定委員会にお諮りします（5-12）。上表の第11期の値は当方の試算であるため、取崩額を決める前に、国の推計ワークシートを操作した再計算により確かめることをお願いしてい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保険料基準額の算定</w:t>
      </w:r>
    </w:p>
    <w:p>
      <w:pPr>
        <w:spacing w:after="120" w:line="300" w:lineRule="exact"/>
      </w:pPr>
      <w:r>
        <w:rPr>
          <w:rFonts w:ascii="游ゴシック" w:cs="游ゴシック" w:eastAsia="游ゴシック" w:hAnsi="游ゴシック"/>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w:t>
      </w:r>
    </w:p>
    <w:p>
      <w:pPr>
        <w:spacing w:after="120" w:line="300" w:lineRule="exact"/>
      </w:pPr>
      <w:r>
        <w:rPr>
          <w:rFonts w:ascii="游ゴシック" w:cs="游ゴシック" w:eastAsia="游ゴシック" w:hAnsi="游ゴシック"/>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621"/>
        <w:gridCol w:w="617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（①＋地域支援事業費）× α</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（①＋総合事業費）× 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lineRule="exact"/>
      </w:pPr>
      <w:r>
        <w:rPr>
          <w:rFonts w:ascii="游ゴシック" w:cs="游ゴシック" w:eastAsia="游ゴシック" w:hAnsi="游ゴシック"/>
          <w:sz w:val="21"/>
          <w:szCs w:val="21"/>
        </w:rPr>
        <w:t xml:space="preserve">調整交付金の見込交付割合は、次の式により算定されます。Fは後期高齢者加入割合補正係数、Gは所得段階別加入割合補正係数です。</w:t>
      </w:r>
    </w:p>
    <w:p>
      <w:pPr>
        <w:spacing w:after="120" w:line="300" w:lineRule="exact"/>
      </w:pPr>
      <w:r>
        <w:rPr>
          <w:rFonts w:ascii="游ゴシック" w:cs="游ゴシック" w:eastAsia="游ゴシック" w:hAnsi="游ゴシック"/>
          <w:sz w:val="21"/>
          <w:szCs w:val="21"/>
        </w:rPr>
        <w:t xml:space="preserve">　見込交付割合 ＝（α＋0.05）－ α × F × G</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現行では65〜74歳・75〜84歳・85歳以上の3区分による加入割合から求めます。令和10年度からこれが7区分に細分化され、あわせて激変緩和の措置が設けられます（1-8の2）。本計画の算定は3区分による現行の係数によっており、7区分による係数が示された時点で令和10年度・令和11年度の調整交付金見込額と保険料を再算定します。本村は後期高齢者の割合が令和7年12月末で52.0%と高く（2-2）、区分の細分化により係数が動く余地があります。</w:t>
      </w:r>
    </w:p>
    <w:p>
      <w:pPr>
        <w:spacing w:after="120" w:line="300" w:lineRule="exact"/>
      </w:pPr>
      <w:r>
        <w:rPr>
          <w:rFonts w:ascii="游ゴシック" w:cs="游ゴシック" w:eastAsia="游ゴシック" w:hAnsi="游ゴシック"/>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keepNext/>
        <w:keepLines/>
        <w:spacing w:after="100" w:line="300" w:lineRule="exact"/>
      </w:pPr>
      <w:r>
        <w:rPr>
          <w:rFonts w:ascii="游ゴシック" w:cs="游ゴシック" w:eastAsia="游ゴシック" w:hAnsi="游ゴシック"/>
          <w:b/>
          <w:bCs/>
          <w:color w:val="2E75B6"/>
          <w:sz w:val="22"/>
          <w:szCs w:val="22"/>
        </w:rPr>
        <w:t xml:space="preserve">算定の構造による第9期の再現</w:t>
      </w:r>
    </w:p>
    <w:p>
      <w:pPr>
        <w:spacing w:after="120" w:line="300" w:lineRule="exact"/>
      </w:pPr>
      <w:r>
        <w:rPr>
          <w:rFonts w:ascii="游ゴシック" w:cs="游ゴシック" w:eastAsia="游ゴシック" w:hAnsi="游ゴシック"/>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118"/>
        <w:gridCol w:w="2340"/>
        <w:gridCol w:w="234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第9期計画の記載値</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―（記載なし）</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40,600千円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220,613千円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差は717千円（0.32%）です。第9期計画に総合事業費の記載がないため令和5年度決算額で代用していることによるものであり、算定の構造自体はこの5式で再現できます。</w:t>
      </w:r>
    </w:p>
    <w:p>
      <w:pPr>
        <w:keepNext/>
        <w:keepLines/>
        <w:spacing w:after="100" w:line="300" w:lineRule="exact"/>
      </w:pPr>
      <w:r>
        <w:rPr>
          <w:rFonts w:ascii="游ゴシック" w:cs="游ゴシック" w:eastAsia="游ゴシック" w:hAnsi="游ゴシック"/>
          <w:b/>
          <w:bCs/>
          <w:color w:val="2E75B6"/>
          <w:sz w:val="22"/>
          <w:szCs w:val="22"/>
        </w:rPr>
        <w:t xml:space="preserve">第1号被保険者負担割合（α）</w:t>
      </w:r>
    </w:p>
    <w:p>
      <w:pPr>
        <w:spacing w:after="120" w:line="300" w:lineRule="exact"/>
      </w:pPr>
      <w:r>
        <w:rPr>
          <w:rFonts w:ascii="游ゴシック" w:cs="游ゴシック" w:eastAsia="游ゴシック" w:hAnsi="游ゴシック"/>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lineRule="exact"/>
      </w:pPr>
      <w:r>
        <w:rPr>
          <w:rFonts w:ascii="游ゴシック" w:cs="游ゴシック" w:eastAsia="游ゴシック" w:hAnsi="游ゴシック"/>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246"/>
        <w:gridCol w:w="2246"/>
        <w:gridCol w:w="2247"/>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23%との差</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＋587円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10期の第1号被保険者負担割合は、国の推計ワークシートにより23%で据え置かれることが確かめられました。第11期24%・第12期25%・第14期26%・第16期27%・第17期28%は仮置値として参考に示されているものです。上表の24%・25%の行は、第11期以降の姿を見るための参考です。</w:t>
      </w:r>
    </w:p>
    <w:p>
      <w:pPr>
        <w:keepNext/>
        <w:keepLines/>
        <w:spacing w:after="100" w:line="300" w:lineRule="exact"/>
      </w:pPr>
      <w:r>
        <w:rPr>
          <w:rFonts w:ascii="游ゴシック" w:cs="游ゴシック" w:eastAsia="游ゴシック" w:hAnsi="游ゴシック"/>
          <w:b/>
          <w:bCs/>
          <w:color w:val="2E75B6"/>
          <w:sz w:val="22"/>
          <w:szCs w:val="22"/>
        </w:rPr>
        <w:t xml:space="preserve">感応度</w:t>
      </w:r>
    </w:p>
    <w:p>
      <w:pPr>
        <w:spacing w:after="120" w:line="300" w:lineRule="exact"/>
      </w:pPr>
      <w:r>
        <w:rPr>
          <w:rFonts w:ascii="游ゴシック" w:cs="游ゴシック" w:eastAsia="游ゴシック" w:hAnsi="游ゴシック"/>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2527"/>
        <w:gridCol w:w="2527"/>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＋26円</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lineRule="exact"/>
      </w:pPr>
      <w:r>
        <w:rPr>
          <w:rFonts w:ascii="游ゴシック" w:cs="游ゴシック" w:eastAsia="游ゴシック" w:hAnsi="游ゴシック"/>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当方が令和5年度決算を基礎として算定した感応度です。基金残高は国の推計ワークシートにより確定しました（42,128,183円）。令和6年度・令和7年度の決算の提供を受けた時点で、給付費の水準に関わる行を確定します。感応度の各行がどれだけ動くかは、国の値に組み替えたうえで算定し直して確かめます。</w:t>
      </w:r>
    </w:p>
    <w:p>
      <w:pPr>
        <w:keepNext/>
        <w:keepLines/>
        <w:spacing w:after="100" w:line="300" w:lineRule="exact"/>
      </w:pPr>
      <w:r>
        <w:rPr>
          <w:rFonts w:ascii="游ゴシック" w:cs="游ゴシック" w:eastAsia="游ゴシック" w:hAnsi="游ゴシック"/>
          <w:b/>
          <w:bCs/>
          <w:color w:val="2E75B6"/>
          <w:sz w:val="22"/>
          <w:szCs w:val="22"/>
        </w:rPr>
        <w:t xml:space="preserve">年度別の保険料収納必要額</w:t>
      </w:r>
    </w:p>
    <w:p>
      <w:pPr>
        <w:spacing w:after="120" w:line="300" w:lineRule="exact"/>
      </w:pPr>
      <w:r>
        <w:rPr>
          <w:rFonts w:ascii="游ゴシック" w:cs="游ゴシック" w:eastAsia="游ゴシック" w:hAnsi="游ゴシック"/>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310"/>
        <w:gridCol w:w="1591"/>
        <w:gridCol w:w="1404"/>
        <w:gridCol w:w="1310"/>
        <w:gridCol w:w="1498"/>
        <w:gridCol w:w="93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6,704円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6,766円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6,799円</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単位：千円（第1号被保険者数・分母・月額を除く）　第1号被保険者負担割合23%・基金の取崩しなしの場合です。</w:t>
      </w:r>
    </w:p>
    <w:p>
      <w:pPr>
        <w:spacing w:after="120" w:line="300" w:lineRule="exact"/>
      </w:pPr>
      <w:r>
        <w:rPr>
          <w:rFonts w:ascii="游ゴシック" w:cs="游ゴシック" w:eastAsia="游ゴシック" w:hAnsi="游ゴシック"/>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744"/>
        <w:gridCol w:w="355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年間の過不足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＋596千円（余り）</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▲109千円（不足）</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▲486千円（不足）</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保険料基準額のパターン</w:t>
      </w:r>
    </w:p>
    <w:p>
      <w:pPr>
        <w:spacing w:after="120" w:line="300" w:lineRule="exact"/>
      </w:pPr>
      <w:r>
        <w:rPr>
          <w:rFonts w:ascii="游ゴシック" w:cs="游ゴシック" w:eastAsia="游ゴシック" w:hAnsi="游ゴシック"/>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434"/>
        <w:gridCol w:w="3557"/>
        <w:gridCol w:w="187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のパターンで5,936円から7,341円まで1,405円の幅があります。第9期の条例基準額6,700円は、この幅のほぼ中央にあたります。幅を作っている要因の大きさは、基金取崩し702円、第1号被保険者負担割合1ポイント294円、給付費の水準±4.7%で279円の順です。</w:t>
      </w:r>
    </w:p>
    <w:p>
      <w:pPr>
        <w:keepNext/>
        <w:keepLines/>
        <w:spacing w:after="100" w:line="300" w:lineRule="exact"/>
      </w:pPr>
      <w:r>
        <w:rPr>
          <w:rFonts w:ascii="游ゴシック" w:cs="游ゴシック" w:eastAsia="游ゴシック" w:hAnsi="游ゴシック"/>
          <w:b/>
          <w:bCs/>
          <w:color w:val="2E75B6"/>
          <w:sz w:val="22"/>
          <w:szCs w:val="22"/>
        </w:rPr>
        <w:t xml:space="preserve">算定上の月額と条例上の基準額</w:t>
      </w:r>
    </w:p>
    <w:p>
      <w:pPr>
        <w:spacing w:after="120" w:line="300" w:lineRule="exact"/>
      </w:pPr>
      <w:r>
        <w:rPr>
          <w:rFonts w:ascii="游ゴシック" w:cs="游ゴシック" w:eastAsia="游ゴシック" w:hAnsi="游ゴシック"/>
          <w:sz w:val="21"/>
          <w:szCs w:val="21"/>
        </w:rPr>
        <w:t xml:space="preserve">上表の月額は、保険料収納必要額を予定保険料収納率と補正後の第1号被保険者数で割って求めた算定上の値です。条例で定める保険料の基準額は、この算定上の月額の百円未満を処理した額です。両者は区別して扱う必要があります。</w:t>
      </w:r>
    </w:p>
    <w:p>
      <w:pPr>
        <w:spacing w:after="120" w:line="300" w:lineRule="exact"/>
      </w:pPr>
      <w:r>
        <w:rPr>
          <w:rFonts w:ascii="游ゴシック" w:cs="游ゴシック" w:eastAsia="游ゴシック" w:hAnsi="游ゴシック"/>
          <w:sz w:val="21"/>
          <w:szCs w:val="21"/>
        </w:rPr>
        <w:t xml:space="preserve">本村の第9期は、算定上の月額6,760.76円に対し条例基準額を6,700円としています。第9期計画の保険料収納必要額220,613千円を予定保険料収納率99.5%と所得段階別加入割合補正後被保険者数2,733人・12か月で割ると6,760.63円となり、国の推計ワークシートが持つ第9期の基準額と一致します。これを百円未満四捨五入すると6,800円になるため、本村は百円未満を切り捨てているものと考えられます。本計画の条例上の基準額は、この第9期の実例に合わせて切捨てで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404"/>
        <w:gridCol w:w="1872"/>
        <w:gridCol w:w="1591"/>
        <w:gridCol w:w="1498"/>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パターン</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算定上の月額</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条例上の基準額（百円未満切捨て）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　四捨五入とした場合</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第9期からの増減（切捨て）</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基金取崩なし・推計どおり（第1号負担割合23%）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据え置き</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基金取崩24,000千円・推計どおり（同）</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12パターンの下限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12パターンの上限</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＋600円</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第9期（参考）</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6,760.76円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6,800円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60" w:before="160"/>
        <w:jc w:val="center"/>
      </w:pPr>
      <w:r>
        <w:drawing>
          <wp:inline distT="0" distB="0" distL="0" distR="0">
            <wp:extent cx="5762625"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62625" cy="3286125"/>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図5-2　算定上の保険料月額と条例上の基準額</w:t>
      </w:r>
    </w:p>
    <w:p>
      <w:pPr>
        <w:spacing w:after="200"/>
        <w:jc w:val="center"/>
      </w:pPr>
      <w:r>
        <w:rPr>
          <w:rFonts w:ascii="游ゴシック" w:cs="游ゴシック" w:eastAsia="游ゴシック" w:hAnsi="游ゴシック"/>
          <w:color w:val="595959"/>
          <w:sz w:val="16"/>
          <w:szCs w:val="16"/>
        </w:rPr>
        <w:t xml:space="preserve">出典：本計画の算定による</w:t>
      </w:r>
    </w:p>
    <w:p>
      <w:pPr>
        <w:spacing w:after="120" w:line="300" w:lineRule="exact"/>
      </w:pPr>
      <w:r>
        <w:rPr>
          <w:rFonts w:ascii="游ゴシック" w:cs="游ゴシック" w:eastAsia="游ゴシック" w:hAnsi="游ゴシック"/>
          <w:sz w:val="21"/>
          <w:szCs w:val="21"/>
        </w:rPr>
        <w:t xml:space="preserve">第9期の条例基準額6,700円に対し、基金を取り崩さない場合は6,700円、24,000千円を取り崩す場合は6,000円となります。四捨五入で置いた場合は前者が6,800円・後者が6,100円であり、この2行では扱いの違いが100円の差になります。12パターンの下限・上限はいずれの扱いでも同じ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百円未満の処理は村の条例の定め方によります。第9期の実例は切捨てで説明できますが、条例の文言を確かめたものではないため、村にご確認いただいたうえで第10期も同じ扱いとします（5-12）。扱いが四捨五入である場合、上表と基金の3案の表の条例上の基準額が案により100円動きます。</w:t>
      </w:r>
    </w:p>
    <w:p>
      <w:pPr>
        <w:spacing w:after="120" w:line="300" w:lineRule="exact"/>
      </w:pPr>
      <w:r>
        <w:rPr>
          <w:rFonts w:ascii="游ゴシック" w:cs="游ゴシック" w:eastAsia="游ゴシック" w:hAnsi="游ゴシック"/>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の以下の表（算定の構造・第9期の再現・感応度・年度別の収納必要額・12のパターン・条例上の基準額）は、当方が国の推計ワークシートの提供を受ける前に算定したものです。国の値との突合は上の「当方の算定との突合」に示しており、取崩しを行わないベースで2.2%の差でした。算定の仕組みを示すものとして残します。国の値に合わせた組み替えは、令和6年度・令和7年度の決算の提供を受けた時点で行います。</w:t>
      </w:r>
    </w:p>
    <w:p>
      <w:pPr>
        <w:keepNext/>
        <w:keepLines/>
        <w:spacing w:after="100" w:line="300" w:lineRule="exact"/>
      </w:pPr>
      <w:r>
        <w:rPr>
          <w:rFonts w:ascii="游ゴシック" w:cs="游ゴシック" w:eastAsia="游ゴシック" w:hAnsi="游ゴシック"/>
          <w:b/>
          <w:bCs/>
          <w:color w:val="2E75B6"/>
          <w:sz w:val="22"/>
          <w:szCs w:val="22"/>
        </w:rPr>
        <w:t xml:space="preserve">所得段階の設定</w:t>
      </w:r>
    </w:p>
    <w:p>
      <w:pPr>
        <w:spacing w:after="120" w:line="300" w:lineRule="exact"/>
      </w:pPr>
      <w:r>
        <w:rPr>
          <w:rFonts w:ascii="游ゴシック" w:cs="游ゴシック" w:eastAsia="游ゴシック" w:hAnsi="游ゴシック"/>
          <w:sz w:val="21"/>
          <w:szCs w:val="21"/>
        </w:rPr>
        <w:t xml:space="preserve">所得段階は、現時点では国の基準による標準13段階を仮置きしています。令和8年9月18日の社会保障審議会介護保険部会において、第10期について高所得者の標準乗率の見直しと、住民税非課税の段階から課税の段階に上がるときの保険料の上昇の緩和を含めた標準段階の見直しを検討することについて意見が求められました（1-8の3）。検討の結果が示された時点で、段階数・対象者数・保険料率を再設定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村は市町村民税非課税の第1段階から第5段階が612人・60.3%を占め、非課税の最上位である第5段階に193人、課税の最下位である第6段階に159人が分布しています。非課税から課税に上がるときの上昇の緩和は、この境界にいる方に直接関わります。また本村の第1号被保険者は約1,000人であるため、数人の段階の移動でも所得段階別加入割合補正後被保険者数が動き、保険料基準額に効きます。標準段階が改められた場合は、段階別の人数を再集計したうえで保険料を再算定します（5-12）。</w:t>
      </w:r>
    </w:p>
    <w:p>
      <w:pPr>
        <w:spacing w:after="120" w:line="300" w:lineRule="exact"/>
      </w:pPr>
      <w:r>
        <w:rPr>
          <w:rFonts w:ascii="游ゴシック" w:cs="游ゴシック" w:eastAsia="游ゴシック" w:hAnsi="游ゴシック"/>
          <w:sz w:val="21"/>
          <w:szCs w:val="21"/>
        </w:rPr>
        <w:t xml:space="preserve">第10期に向けて、所得段階を区分する合計所得金額の基準額が政令改正により80.9万円から82.65万円に引き上げられました。これは第1段階から第3段階の区分に用いる額であり、本村の条例の改正を要します。基準額の引上げにより、境界にある方の段階が下がる場合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対象者数は令和8年度合計所得金額分布調査によるもので、80.9万円の基準による区分です。82.65万円の基準による区分に置き換えると第1段階から第3段階の人数が動くため、村の賦課の実績により再集計します。</w:t>
      </w:r>
    </w:p>
    <w:p>
      <w:pPr>
        <w:spacing w:after="120" w:line="300" w:lineRule="exact"/>
      </w:pPr>
      <w:r>
        <w:rPr>
          <w:rFonts w:ascii="游ゴシック" w:cs="游ゴシック" w:eastAsia="游ゴシック" w:hAnsi="游ゴシック"/>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872"/>
        <w:gridCol w:w="1404"/>
        <w:gridCol w:w="1217"/>
        <w:gridCol w:w="1217"/>
        <w:gridCol w:w="2340"/>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保険料月額</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出典：令和8年度合計所得金額分布調査</w:t>
      </w:r>
    </w:p>
    <w:p>
      <w:pPr>
        <w:spacing w:after="120" w:line="300" w:lineRule="exact"/>
      </w:pPr>
      <w:r>
        <w:rPr>
          <w:rFonts w:ascii="游ゴシック" w:cs="游ゴシック" w:eastAsia="游ゴシック" w:hAnsi="游ゴシック"/>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lineRule="exact"/>
      </w:pPr>
      <w:r>
        <w:rPr>
          <w:rFonts w:ascii="游ゴシック" w:cs="游ゴシック" w:eastAsia="游ゴシック" w:hAnsi="游ゴシック"/>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段階の保険料率・保険料月額は、保険料基準額の算定後に記載します。第9期から標準9段階が13段階に多段階化されており、本計画でも13段階を基本とします。国の推計ワークシートでは「保険料設定を弾力化した場合」の行がすべて空であり、村は標準の段階区分で提出していることが確かめられま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5-8　介護給付適正化計画</w:t>
      </w:r>
    </w:p>
    <w:p>
      <w:pPr>
        <w:spacing w:after="120" w:line="300" w:lineRule="exact"/>
      </w:pPr>
      <w:r>
        <w:rPr>
          <w:rFonts w:ascii="游ゴシック" w:cs="游ゴシック" w:eastAsia="游ゴシック" w:hAnsi="游ゴシック"/>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7期・令和9年度から令和11年度まで）です。</w:t>
      </w:r>
    </w:p>
    <w:p>
      <w:pPr>
        <w:spacing w:after="120" w:line="300" w:lineRule="exact"/>
      </w:pPr>
      <w:r>
        <w:rPr>
          <w:rFonts w:ascii="游ゴシック" w:cs="游ゴシック" w:eastAsia="游ゴシック" w:hAnsi="游ゴシック"/>
          <w:sz w:val="21"/>
          <w:szCs w:val="21"/>
        </w:rPr>
        <w:t xml:space="preserve">国の「介護給付適正化計画に関する指針」（令和5年9月12日老介発0912第1号）により、第6期計画（令和6年度〜令和8年度）から、従来の主要5事業が主要3事業に整理されました。本計画は第7期計画に当たり、主要3事業を基本とします。</w:t>
      </w:r>
    </w:p>
    <w:p>
      <w:pPr>
        <w:keepNext/>
        <w:keepLines/>
        <w:spacing w:after="100" w:line="300" w:lineRule="exact"/>
      </w:pPr>
      <w:r>
        <w:rPr>
          <w:rFonts w:ascii="游ゴシック" w:cs="游ゴシック" w:eastAsia="游ゴシック" w:hAnsi="游ゴシック"/>
          <w:b/>
          <w:bCs/>
          <w:color w:val="2E75B6"/>
          <w:sz w:val="22"/>
          <w:szCs w:val="22"/>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123"/>
        <w:gridCol w:w="2808"/>
        <w:gridCol w:w="1872"/>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令和9・10・11年度の目標</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国の評価指標に単独の項目がなく、村の実績も未受領。3事業をまとめて問う指標（6点）が令和8年度に0点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毎年度100%（全件点検）</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国の評価指標で令和8年度に8点／16点（4段階のうち2段階）。令和6・7年度は0点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国の評価指標の段階（4段階）と、点検したケアプランの件数（分母は居宅介護支援・介護予防支援の給付件数）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令和11年度までに4段階すべて（16点）。件数は実績の受領後に定める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 医療情報との突合・縦覧点検</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縦覧点検は4帳票を全件点検（3年連続満点）。医療情報との突合は令和7年度から16点満点（4段階すべて）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毎年度4帳票・100%。医療情報との突合は16点満点を維持</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lineRule="exact"/>
      </w:pPr>
      <w:r>
        <w:rPr>
          <w:rFonts w:ascii="游ゴシック" w:cs="游ゴシック" w:eastAsia="游ゴシック" w:hAnsi="游ゴシック"/>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lineRule="exact"/>
      </w:pPr>
      <w:r>
        <w:rPr>
          <w:rFonts w:ascii="游ゴシック" w:cs="游ゴシック" w:eastAsia="游ゴシック" w:hAnsi="游ゴシック"/>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20" w:line="300" w:lineRule="exact"/>
      </w:pPr>
      <w:r>
        <w:rPr>
          <w:rFonts w:ascii="游ゴシック" w:cs="游ゴシック" w:eastAsia="游ゴシック" w:hAnsi="游ゴシック"/>
          <w:sz w:val="21"/>
          <w:szCs w:val="21"/>
        </w:rPr>
        <w:t xml:space="preserve">給付適正化に関する国の評価は、取組ごとに次のように動いています。</w:t>
      </w:r>
    </w:p>
    <w:p>
      <w:pPr>
        <w:keepNext/>
        <w:keepLines/>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62625" cy="3048000"/>
                    </a:xfrm>
                    <a:prstGeom prst="rect">
                      <a:avLst/>
                    </a:prstGeom>
                  </pic:spPr>
                </pic:pic>
              </a:graphicData>
            </a:graphic>
          </wp:inline>
        </w:drawing>
      </w:r>
    </w:p>
    <w:p>
      <w:pPr>
        <w:keepNext/>
        <w:keepLines/>
        <w:spacing w:after="40"/>
        <w:jc w:val="center"/>
      </w:pPr>
      <w:r>
        <w:rPr>
          <w:rFonts w:ascii="游ゴシック" w:cs="游ゴシック" w:eastAsia="游ゴシック" w:hAnsi="游ゴシック"/>
          <w:b/>
          <w:bCs/>
          <w:color w:val="1F3864"/>
          <w:sz w:val="18"/>
          <w:szCs w:val="18"/>
        </w:rPr>
        <w:t xml:space="preserve">図5-3　給付適正化の取組別得点の推移（推進交付金 目標Ⅱ）</w:t>
      </w:r>
    </w:p>
    <w:p>
      <w:pPr>
        <w:spacing w:after="200"/>
        <w:jc w:val="center"/>
      </w:pPr>
      <w:r>
        <w:rPr>
          <w:rFonts w:ascii="游ゴシック" w:cs="游ゴシック" w:eastAsia="游ゴシック" w:hAnsi="游ゴシック"/>
          <w:color w:val="595959"/>
          <w:sz w:val="16"/>
          <w:szCs w:val="16"/>
        </w:rPr>
        <w:t xml:space="preserve">出典：厚生労働省「評価指標に係る該当状況調査票集計表」（令和6〜8年度）により算定</w:t>
      </w:r>
    </w:p>
    <w:p>
      <w:pPr>
        <w:spacing w:after="120" w:line="300" w:lineRule="exact"/>
      </w:pPr>
      <w:r>
        <w:rPr>
          <w:rFonts w:ascii="游ゴシック" w:cs="游ゴシック" w:eastAsia="游ゴシック" w:hAnsi="游ゴシック"/>
          <w:sz w:val="21"/>
          <w:szCs w:val="21"/>
        </w:rPr>
        <w:t xml:space="preserve">方策の策定は令和8年度に32点満点となり、医療情報との突合は令和7年度から16点満点を続けています。ケアプラン点検は令和8年度に初めて8点を取得しました（4段階のうち2段階）。一方で事業の取組は20点から6点へ下がっており、ここが本節の重点です。4つの取組のうち全国平均を上回っているのは方策の策定・ケアプラン点検・医療情報との突合の3つで、下回っているのは事業の取組だけです。</w:t>
      </w:r>
    </w:p>
    <w:p>
      <w:pPr>
        <w:keepNext/>
        <w:keepLines/>
        <w:spacing w:after="100" w:line="300" w:lineRule="exact"/>
      </w:pPr>
      <w:r>
        <w:rPr>
          <w:rFonts w:ascii="游ゴシック" w:cs="游ゴシック" w:eastAsia="游ゴシック" w:hAnsi="游ゴシック"/>
          <w:b/>
          <w:bCs/>
          <w:color w:val="2E75B6"/>
          <w:sz w:val="22"/>
          <w:szCs w:val="22"/>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808"/>
        <w:gridCol w:w="2621"/>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第10期の目標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年300件（維持）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広域での関与の仕組みの構築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毎年度実施</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毎年度公表</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keepNext/>
        <w:keepLines/>
        <w:spacing w:after="100" w:line="300" w:lineRule="exact"/>
      </w:pPr>
      <w:r>
        <w:rPr>
          <w:rFonts w:ascii="游ゴシック" w:cs="游ゴシック" w:eastAsia="游ゴシック" w:hAnsi="游ゴシック"/>
          <w:b/>
          <w:bCs/>
          <w:color w:val="2E75B6"/>
          <w:sz w:val="22"/>
          <w:szCs w:val="22"/>
        </w:rPr>
        <w:t xml:space="preserve">(3) 財政調整交付金の算定への影響</w:t>
      </w:r>
    </w:p>
    <w:p>
      <w:pPr>
        <w:spacing w:after="120" w:line="300" w:lineRule="exact"/>
      </w:pPr>
      <w:r>
        <w:rPr>
          <w:rFonts w:ascii="游ゴシック" w:cs="游ゴシック" w:eastAsia="游ゴシック" w:hAnsi="游ゴシック"/>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lineRule="exact"/>
      </w:pPr>
      <w:r>
        <w:rPr>
          <w:rFonts w:ascii="游ゴシック" w:cs="游ゴシック" w:eastAsia="游ゴシック" w:hAnsi="游ゴシック"/>
          <w:sz w:val="21"/>
          <w:szCs w:val="21"/>
        </w:rPr>
        <w:t xml:space="preserve">本村は、令和8年度の評価において「主要3事業のすべてを実施している」ことを問う指標が0点です（(1)）。医療情報との突合・縦覧点検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808"/>
        <w:gridCol w:w="2434"/>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令和8年度の評価で0点（①の未実施または記録の不足の可能性）</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当方の算定では上記の据え置きを前提に月額6,756円（5-7）。国の推計ワークシートによる基準額は月額5,513.72円（5-7）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spacing w:after="120" w:line="300" w:lineRule="exact"/>
      </w:pPr>
      <w:r>
        <w:rPr>
          <w:rFonts w:ascii="游ゴシック" w:cs="游ゴシック" w:eastAsia="游ゴシック" w:hAnsi="游ゴシック"/>
          <w:sz w:val="21"/>
          <w:szCs w:val="21"/>
        </w:rPr>
        <w:t xml:space="preserve">勘案の方法は、令和8年9月18日の社会保障審議会介護保険部会において次のとおり示されました（1-8の3）。調整交付金の年齢区分の精緻化により交付額が増加する保険者について、①主要3事業のいずれかを実施していない場合、または②第1号被保険者1人あ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年齢区分の精緻化により増加した額の5%を減額するという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4306"/>
        <w:gridCol w:w="318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要件</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本村の状況</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減額の前提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年齢区分の精緻化により調整交付金の交付額が増加する保険者であること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国の推計ワークシートの見込交付割合は5.36%・5.03%・4.67%で、当方が第9期から復元した4.10〜4.32%を上回ります（5-7）。増加するかは交付割合が確定した時点で確認します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主要3事業の実施</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3事業のいずれかを実施していない保険者は減額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令和8年度の評価で0点であり、該当する可能性があります（(1)）</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外れ値に該当した場合の帳票点検</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令和9年2月から令和10年1月までの1人あたり給付費が外れ値に該当した保険者に令和10年7月頃までに国から通知。令和10年度下半期の実施率等が令和9年度下半期を下回った場合に令和11年度に減額</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本村の1人あたり費用額は県内下位であり（2-7）、外れ値に該当する可能性は低いと見られます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減額の時期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①は第10期を通じて、②は第10期の最終年度（令和11年度）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①に該当する場合は令和9年度から影響します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額は算定していません。年齢区分の精緻化により増加した額を限度とするものであり、増加額は7区分による補正係数が示された時点で決まるためです（1-8の2）。交付額が増加しない保険者には減額が生じません。5-7の保険料は減額を織り込んでいません（5-12）。なお本節の上表の「調整交付金の見込交付割合が0.1ポイント低下」は、交付割合そのものが動いた場合の感応度であり、この減額の見込額ではあり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県に対しては、本村の交付割合の見通しと、主要3事業の実施状況がどのように把握されているかを照会する必要があります。令和8年度の評価で0点である理由（①の未実施か記録の不足か）が分からないと、令和9年度から何を改めるべきかが定まりません。</w:t>
      </w:r>
    </w:p>
    <w:p>
      <w:pPr>
        <w:keepNext/>
        <w:keepLines/>
        <w:spacing w:after="100" w:line="300" w:lineRule="exact"/>
      </w:pPr>
      <w:r>
        <w:rPr>
          <w:rFonts w:ascii="游ゴシック" w:cs="游ゴシック" w:eastAsia="游ゴシック" w:hAnsi="游ゴシック"/>
          <w:b/>
          <w:bCs/>
          <w:color w:val="2E75B6"/>
          <w:sz w:val="22"/>
          <w:szCs w:val="22"/>
        </w:rPr>
        <w:t xml:space="preserve">(4) 介護SCRの活用</w:t>
      </w:r>
    </w:p>
    <w:p>
      <w:pPr>
        <w:spacing w:after="120" w:line="300" w:lineRule="exact"/>
      </w:pPr>
      <w:r>
        <w:rPr>
          <w:rFonts w:ascii="游ゴシック" w:cs="游ゴシック" w:eastAsia="游ゴシック" w:hAnsi="游ゴシック"/>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lineRule="exact"/>
      </w:pPr>
      <w:r>
        <w:rPr>
          <w:rFonts w:ascii="游ゴシック" w:cs="游ゴシック" w:eastAsia="游ゴシック" w:hAnsi="游ゴシック"/>
          <w:sz w:val="21"/>
          <w:szCs w:val="21"/>
        </w:rPr>
        <w:t xml:space="preserve">本村は給付費の58.7%が村外のサービスによるものであり（2-5）、村内の事業所は3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keepNext/>
        <w:keepLines/>
        <w:spacing w:after="100" w:line="300" w:lineRule="exact"/>
      </w:pPr>
      <w:r>
        <w:rPr>
          <w:rFonts w:ascii="游ゴシック" w:cs="游ゴシック" w:eastAsia="游ゴシック" w:hAnsi="游ゴシック"/>
          <w:b/>
          <w:bCs/>
          <w:color w:val="2E75B6"/>
          <w:sz w:val="22"/>
          <w:szCs w:val="22"/>
        </w:rPr>
        <w:t xml:space="preserve">(5) 帳票を活用した点検の充実と新たな点検手法</w:t>
      </w:r>
    </w:p>
    <w:p>
      <w:pPr>
        <w:spacing w:after="120" w:line="300" w:lineRule="exact"/>
      </w:pPr>
      <w:r>
        <w:rPr>
          <w:rFonts w:ascii="游ゴシック" w:cs="游ゴシック" w:eastAsia="游ゴシック" w:hAnsi="游ゴシック"/>
          <w:sz w:val="21"/>
          <w:szCs w:val="21"/>
        </w:rPr>
        <w:t xml:space="preserve">第7期の指針では、主要3事業の全保険者での実施を目指すとともに、国民健康保険団体連合会（国保連）の介護給付費適正化システムから出力される給付実績等の帳票を活用した点検の充実と、新たな点検手法の導入が改訂の内容として示されました。本村はいずれも取り組む余地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指針の改訂の内容</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国が示した内容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本村の対応</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小規模保険者等への支援</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国保連の積極的な活用の推進。都道府県と保険者との会議体における検討と、都道府県による地域に適した保険者支援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本村は第1号被保険者約1,000人の小規模保険者であり、支援の対象に当たります。県および国保連との会議体に参加し、村単独では実施が難しい点検の委託の範囲を広げます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点検対象の事業所の選定への帳票の活用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「ケアプランの点検」および「住宅改修の点検、福祉用具購入・貸与調査」について、点検対象とする事業所の選定の際に国保連の帳票を積極的に活用する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ケアプラン等の点検が令和8年度に初めて得点を得た段階です（(1)）。点検対象を無作為に選ぶのではなく、帳票により給付の内容に疑義のある先から選ぶことで、限られた体制でも点検の効果を上げられます。施策3-5の取組に位置づけ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有効性の高い帳票の優先的な点検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効果が高いと見込まれる「医療情報との突合・縦覧点検」について、有効性が高いと見込まれる帳票の点検を優先的に実施する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本村はすでに4帳票の全件点検を3年続けています（(1)）。国が優先すべき帳票を示した時点で、点検する帳票の種類を見直します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ケアプラン点検支援マニュアル等の活用</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令和6年度に改訂された「ケアプラン点検支援マニュアル」に基づき、更新された点検項目や事務負担軽減のための点検支援ツール等を利活用した点検を実施する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点検支援ツールの利用により、村の職員の体制のままで点検の件数を増やせる可能性があります。マニュアルと支援ツールの内容を確認し、(1)②の件数の目標の設定に用います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高齢者向け住まいに居住する受給者の点検</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情報の「現在の状況」コードが「有料老人ホーム」または「サービス付き高齢者向け住宅」である受給者の給付実績を抽出した帳票を新たに作成する。さらに、改正後の老人福祉法に規定する登録有料老人ホームに居住する受給者の給付実績を抽出した帳票を作成する仕組みを構築す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課題に直接効きます。(2)に掲げた「ケアプラン点検への有料老人ホーム・サービス付き高齢者向け住宅入居者分の追加」（国の評価指標8点・未実施）は、村内に該当施設がないため村外施設の入居者を把握する方法が課題でした。この帳票により、本村の被保険者が村外の住まいで受けている給付を抽出できるようになります。帳票の提供が始まった時点で点検の手順を定めます</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出典：第136回社会保障審議会介護保険部会（令和8年9月18日）資料5「介護給付適正化に向けた取組について（報告）」</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が示した適正化の効果は、令和6年度のケアプランの点検（住宅改修の点検・福祉用具購入・貸与調査を含む）で過誤申立が約1.2万件・効果額が約1億円、医療情報との突合・縦覧点検で約13.6万件・約14.0億円です。全保険者の合計であり、本村に当てはめた額ではありません。本村の過誤申立の件数と効果額は把握できていないため、(1)の目標は件数と実施率により置い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高齢者向け住まいに居住する受給者を抽出した帳票は、作成する仕組みを構築するとされた段階であり、提供の時期は示されていません。本計画はこの帳票を用いることを前提とした目標は置いていません（5-12）。</w:t>
      </w:r>
    </w:p>
    <w:p>
      <w:pPr>
        <w:spacing w:after="120" w:line="300" w:lineRule="exact"/>
      </w:pPr>
      <w:r>
        <w:rPr>
          <w:rFonts w:ascii="游ゴシック" w:cs="游ゴシック" w:eastAsia="游ゴシック" w:hAnsi="游ゴシック"/>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5-9　保険者機能強化推進交付金等の活用</w:t>
      </w:r>
    </w:p>
    <w:p>
      <w:pPr>
        <w:spacing w:after="120" w:line="300" w:lineRule="exact"/>
      </w:pPr>
      <w:r>
        <w:rPr>
          <w:rFonts w:ascii="游ゴシック" w:cs="游ゴシック" w:eastAsia="游ゴシック" w:hAnsi="游ゴシック"/>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keepNext/>
        <w:keepLines/>
        <w:spacing w:after="100" w:line="300" w:lineRule="exact"/>
      </w:pPr>
      <w:r>
        <w:rPr>
          <w:rFonts w:ascii="游ゴシック" w:cs="游ゴシック" w:eastAsia="游ゴシック" w:hAnsi="游ゴシック"/>
          <w:b/>
          <w:bCs/>
          <w:color w:val="2E75B6"/>
          <w:sz w:val="22"/>
          <w:szCs w:val="22"/>
        </w:rPr>
        <w:t xml:space="preserve">(1) 交付見込額</w:t>
      </w:r>
    </w:p>
    <w:p>
      <w:pPr>
        <w:spacing w:after="120" w:line="300" w:lineRule="exact"/>
      </w:pPr>
      <w:r>
        <w:rPr>
          <w:rFonts w:ascii="游ゴシック" w:cs="游ゴシック" w:eastAsia="游ゴシック" w:hAnsi="游ゴシック"/>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310"/>
        <w:gridCol w:w="1310"/>
        <w:gridCol w:w="1310"/>
        <w:gridCol w:w="1312"/>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keepNext/>
        <w:keepLines/>
        <w:spacing w:after="100" w:line="300" w:lineRule="exact"/>
      </w:pPr>
      <w:r>
        <w:rPr>
          <w:rFonts w:ascii="游ゴシック" w:cs="游ゴシック" w:eastAsia="游ゴシック" w:hAnsi="游ゴシック"/>
          <w:b/>
          <w:bCs/>
          <w:color w:val="2E75B6"/>
          <w:sz w:val="22"/>
          <w:szCs w:val="22"/>
        </w:rPr>
        <w:t xml:space="preserve">(2) 評価結果の状況</w:t>
      </w:r>
    </w:p>
    <w:p>
      <w:pPr>
        <w:spacing w:after="120" w:line="300" w:lineRule="exact"/>
      </w:pPr>
      <w:r>
        <w:rPr>
          <w:rFonts w:ascii="游ゴシック" w:cs="游ゴシック" w:eastAsia="游ゴシック" w:hAnsi="游ゴシック"/>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2059"/>
        <w:gridCol w:w="1872"/>
        <w:gridCol w:w="1872"/>
        <w:gridCol w:w="2059"/>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40位／59</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34位／59</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lineRule="exact"/>
      </w:pPr>
      <w:r>
        <w:rPr>
          <w:rFonts w:ascii="游ゴシック" w:cs="游ゴシック" w:eastAsia="游ゴシック" w:hAnsi="游ゴシック"/>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5-10　低所得者への対応</w:t>
      </w:r>
    </w:p>
    <w:p>
      <w:pPr>
        <w:spacing w:after="120" w:line="300" w:lineRule="exact"/>
      </w:pPr>
      <w:r>
        <w:rPr>
          <w:rFonts w:ascii="游ゴシック" w:cs="游ゴシック" w:eastAsia="游ゴシック" w:hAnsi="游ゴシック"/>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lineRule="exact"/>
      </w:pPr>
      <w:r>
        <w:rPr>
          <w:rFonts w:ascii="游ゴシック" w:cs="游ゴシック" w:eastAsia="游ゴシック" w:hAnsi="游ゴシック"/>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lineRule="exact"/>
      </w:pPr>
      <w:r>
        <w:rPr>
          <w:rFonts w:ascii="游ゴシック" w:cs="游ゴシック" w:eastAsia="游ゴシック" w:hAnsi="游ゴシック"/>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5-11　令和22年度（2040年度）を見据えた見通し</w:t>
      </w:r>
    </w:p>
    <w:p>
      <w:pPr>
        <w:spacing w:after="120" w:line="300" w:lineRule="exact"/>
      </w:pPr>
      <w:r>
        <w:rPr>
          <w:rFonts w:ascii="游ゴシック" w:cs="游ゴシック" w:eastAsia="游ゴシック" w:hAnsi="游ゴシック"/>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591"/>
        <w:gridCol w:w="1591"/>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1,654人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765人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519人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46.3%</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770人</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keepNext/>
        <w:keepLines/>
        <w:spacing w:after="100" w:line="300" w:lineRule="exact"/>
      </w:pPr>
      <w:r>
        <w:rPr>
          <w:rFonts w:ascii="游ゴシック" w:cs="游ゴシック" w:eastAsia="游ゴシック" w:hAnsi="游ゴシック"/>
          <w:b/>
          <w:bCs/>
          <w:color w:val="2E75B6"/>
          <w:sz w:val="22"/>
          <w:szCs w:val="22"/>
        </w:rPr>
        <w:t xml:space="preserve">中長期の保険料（国の推計ワークシートによる）</w:t>
      </w:r>
    </w:p>
    <w:p>
      <w:pPr>
        <w:spacing w:after="120" w:line="300" w:lineRule="exact"/>
      </w:pPr>
      <w:r>
        <w:rPr>
          <w:rFonts w:ascii="游ゴシック" w:cs="游ゴシック" w:eastAsia="游ゴシック" w:hAnsi="游ゴシック"/>
          <w:sz w:val="21"/>
          <w:szCs w:val="21"/>
        </w:rPr>
        <w:t xml:space="preserve">国の推計ワークシートは、第17期（令和32年度）までの保険料基準額を出力しています。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1498"/>
        <w:gridCol w:w="2059"/>
        <w:gridCol w:w="1310"/>
        <w:gridCol w:w="1778"/>
        <w:gridCol w:w="1779"/>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77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77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出典：国の推計ワークシート（将来推計総括表）　第11期以降の第1号被保険者負担割合は仮置値です。調整交付金見込交付割合は、第10期の欄のみ令和11年度の値を掲げています。</w:t>
      </w:r>
    </w:p>
    <w:p>
      <w:pPr>
        <w:spacing w:after="120" w:line="300" w:lineRule="exact"/>
      </w:pPr>
      <w:r>
        <w:rPr>
          <w:rFonts w:ascii="游ゴシック" w:cs="游ゴシック" w:eastAsia="游ゴシック" w:hAnsi="游ゴシック"/>
          <w:sz w:val="21"/>
          <w:szCs w:val="21"/>
        </w:rPr>
        <w:t xml:space="preserve">第11期（令和12年度）に7,301.29円（＋32.4%）跳ね上がります。第10期で介護給付費準備基金をほぼ使い切り、第11期には取崩しの余地が残らないためです（5-7）。第11期の7,301.29円は、取崩しを行わない場合の第10期の6,610.55円に近い水準です。</w:t>
      </w:r>
    </w:p>
    <w:p>
      <w:pPr>
        <w:spacing w:after="120" w:line="300" w:lineRule="exact"/>
      </w:pPr>
      <w:r>
        <w:rPr>
          <w:rFonts w:ascii="游ゴシック" w:cs="游ゴシック" w:eastAsia="游ゴシック" w:hAnsi="游ゴシック"/>
          <w:sz w:val="21"/>
          <w:szCs w:val="21"/>
        </w:rPr>
        <w:t xml:space="preserve">その先は一本調子には上がりません。第12期（令和17年度）の8,281.46円に対し、第14期（令和22年度）は7,735.73円へいったん下がります。理由は調整交付金です。見込交付割合は令和17年度の5.18%から令和22年度の10.37%へほぼ倍になります。見込交付割合は（α＋0.05）－α×F×Gにより求められ、Fは後期高齢者加入割合補正係数です（5-7）。本村のFは令和17年度の0.9753から令和22年度の0.7790へ下がり、Fが下がるとこの式により見込交付割合は上がります。Fは保険者の年齢構成を全国平均と比べる係数であるため、高齢化が進むほど調整交付金が増え、保険料の上がり方が抑えられる方向に働き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1人あたりの月額でみた総給付費は、第10期5,411.96円・第11期6,114.19円・第12期6,945.82円・第14期6,282.81円・第17期7,451.56円です。第12期を山として第14期にいったん下がり、その後また上がります。保険料の動きは給付費の動きとほぼ同じ形をしており、第14期の下がりは給付費と調整交付金の両方によるものです。第17期（令和32年度）の保険料は9,118.27円で、第10期の1.65倍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後期高齢者加入割合補正係数（F）は、参考シートの全国値（仮置値）によって算出された暫定値です。当方が国の式により復元を試みたところ、令和17年度0.8604・令和22年度0.7459となり、ワークシートの値（0.9753・0.7790）と一致しませんでした。算出に用いる加入割合の時点または区分の取り方が当方の想定と異なるものと考えられます。中長期の保険料の水準はこの係数に大きく左右されるため、算出方法を確認したうえで確定します（5-12）。また令和10年度からFの年齢区分が3区分から7区分に細分化され、激変緩和の措置が設けられるため（1-8の2）、上表の第11期以降の値は現行の区分による参考値です。</w:t>
      </w:r>
    </w:p>
    <w:p>
      <w:pPr>
        <w:keepNext/>
        <w:keepLines/>
        <w:spacing w:after="100" w:line="300" w:lineRule="exact"/>
      </w:pPr>
      <w:r>
        <w:rPr>
          <w:rFonts w:ascii="游ゴシック" w:cs="游ゴシック" w:eastAsia="游ゴシック" w:hAnsi="游ゴシック"/>
          <w:b/>
          <w:bCs/>
          <w:color w:val="2E75B6"/>
          <w:sz w:val="22"/>
          <w:szCs w:val="22"/>
        </w:rPr>
        <w:t xml:space="preserve">中長期の見込量・給付費・保険料（当方の算定）</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lineRule="exact"/>
      </w:pPr>
      <w:r>
        <w:rPr>
          <w:rFonts w:ascii="游ゴシック" w:cs="游ゴシック" w:eastAsia="游ゴシック" w:hAnsi="游ゴシック"/>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▲12.6%</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▲11.0%</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lineRule="exact"/>
      </w:pPr>
      <w:r>
        <w:rPr>
          <w:rFonts w:ascii="游ゴシック" w:cs="游ゴシック" w:eastAsia="游ゴシック" w:hAnsi="游ゴシック"/>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lineRule="exact"/>
      </w:pPr>
      <w:r>
        <w:rPr>
          <w:rFonts w:ascii="游ゴシック" w:cs="游ゴシック" w:eastAsia="游ゴシック" w:hAnsi="游ゴシック"/>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1ポイントあたりの影響は月額約294円です（5-7）。給付費が16.2%減ることによる引下げは月額約960円に相当しますが、αが3ポイント上がればほぼ相殺されます。</w:t>
      </w:r>
    </w:p>
    <w:p>
      <w:pPr>
        <w:spacing w:after="120" w:line="300" w:lineRule="exact"/>
      </w:pPr>
      <w:r>
        <w:rPr>
          <w:rFonts w:ascii="游ゴシック" w:cs="游ゴシック" w:eastAsia="游ゴシック" w:hAnsi="游ゴシック"/>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keepNext/>
        <w:keepLines/>
        <w:spacing w:after="100" w:line="300" w:lineRule="exact"/>
      </w:pPr>
      <w:r>
        <w:rPr>
          <w:rFonts w:ascii="游ゴシック" w:cs="游ゴシック" w:eastAsia="游ゴシック" w:hAnsi="游ゴシック"/>
          <w:b/>
          <w:bCs/>
          <w:color w:val="2E75B6"/>
          <w:sz w:val="22"/>
          <w:szCs w:val="22"/>
        </w:rPr>
        <w:t xml:space="preserve">保険料基準額の見通し（αの2案）</w:t>
      </w:r>
    </w:p>
    <w:p>
      <w:pPr>
        <w:spacing w:after="120" w:line="300" w:lineRule="exact"/>
      </w:pPr>
      <w:r>
        <w:rPr>
          <w:rFonts w:ascii="游ゴシック" w:cs="游ゴシック" w:eastAsia="游ゴシック" w:hAnsi="游ゴシック"/>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18,034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238,038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32,338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13,347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9,323人・月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1498"/>
        <w:gridCol w:w="1498"/>
        <w:gridCol w:w="149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64,169千円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78,118千円</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5-12　現時点で据え置いた項目と確定の条件</w:t>
      </w:r>
    </w:p>
    <w:p>
      <w:pPr>
        <w:spacing w:after="120" w:line="300" w:lineRule="exact"/>
      </w:pPr>
      <w:r>
        <w:rPr>
          <w:rFonts w:ascii="游ゴシック" w:cs="游ゴシック" w:eastAsia="游ゴシック" w:hAnsi="游ゴシック"/>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keepNext/>
        <w:keepLines/>
        <w:spacing w:after="100" w:line="300" w:lineRule="exact"/>
      </w:pPr>
      <w:r>
        <w:rPr>
          <w:rFonts w:ascii="游ゴシック" w:cs="游ゴシック" w:eastAsia="游ゴシック" w:hAnsi="游ゴシック"/>
          <w:b/>
          <w:bCs/>
          <w:color w:val="2E75B6"/>
          <w:sz w:val="22"/>
          <w:szCs w:val="22"/>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 月報第2表・第3表</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村からの提供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村への確認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村の給付実績（管理番号14〜18）</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総合事業の事業別実績（管理番号25〜39）</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包括的支援事業・任意事業の決算内訳</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令和6・7年度決算</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令和9年度以降も0で入っている6サービス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国の推計ワークシートのまま0としている（介護予防短期入所生活介護・訪問入浴介護・短期入所療養介護（老健）・特定福祉用具購入費・住宅改修費・地域密着型通所介護）。令和6・7年度には実績がある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村の確認（国の集計の提出期限は令和8年10月13日18時）</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国の推計ワークシートの第17期までの出力を本体とし、当方の算定（αの2案）を併記。報酬改定・制度改正は織り込まない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第11期以降の第1号被保険者負担割合を定める政令（ワークシートの値は仮置値）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老人福祉事業（施設）の量　養護老人ホームの措置・軽費老人ホーム・生活支援ハウス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実績・目標とも空欄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村の措置・利用の実績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保険者機能強化推進交付金等の交付見込額（令和9〜11年度）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3か年とも空欄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国の配分の方法と本村の得点。第10期の評価指標の公表後に見込む</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老人福祉事業（在宅）の量　弁当配達・緊急通報・除雪支援・移動支援・寝具洗濯・訪問理美容・家族介護者リフレッシュ・介護用品の支給・なりすまし詐欺抑止装置・火災警報器・防犯カメラ・高齢者教室・長寿を祝う会・健康長寿祝金・活動活性化助成金・シルバー人材センター・老人クラブ</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実績は空欄。目標は弁当配達の年4回のみ記入（17事業）</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村単独事業の実績</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施策体系に対応する施策のない5事業（寝具洗濯・訪問理美容・長寿を祝う会・健康長寿祝金・活動活性化助成金）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量の目標のみ掲げ、施策体系上の位置づけは記載していない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調整交付金の見込交付割合の出所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国の推計ワークシートの5.36／5.03／4.67%を用いている。当方が第9期から復元した4.10〜4.32%を1.0ポイント以上上回る（月額約260円）</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県の指示値か村の入力値かの確認、および県への照会（主要3事業の取組状況の勘案・5-8(3)）</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後期高齢者加入割合補正係数（F）の算出方法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国の推計ワークシートの値を用いている。当方の復元（令和17年度0.8604・令和22年度0.7459）がワークシートの値（0.9753・0.7790）と一致しない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算出に用いる加入割合の時点と区分の確認。令和10年度からの7区分化と激変緩和の措置の内容（1-8の2）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標準13段階を仮置き。国の推計ワークシートで弾力化の行が空であることを確認済。乗率は第9期の設定を据え置き。高所得者の標準乗率の見直しを含めた標準段階の見直しを検討することについて意見が求められた段階（1-8の3）</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標準段階を定める政令。段数が変わる場合は段階別の人数を再集計する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住民税非課税の段階から課税の段階に上がるときの保険料の上昇の緩和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緩和の方法（乗率の刻みの細分化か別の仕組みか）が示されていない。本村は非課税の第1段階から第5段階が612人・60.3%を占め、非課税の最上位である第5段階に193人、課税の最下位である第6段階に159人が分布しているため、境界の扱いが広く関わる（5-7）</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標準段階を定める政令。緩和の方法が示された時点で段階別の人数を再集計して再算定する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1-8の2・5-6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補足給付の区分の細分化と負担限度額の上乗せの額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時期は、部会の意見書により、第3段階②の負担限度額の上乗せが令和8年度から、第3段階①・②をそれぞれア・イに区分したうえでの①イ・②イの上乗せが令和9年度からであることを確認した（1-8の2）。負担限度額の額は示されていないため、補助給付等は令和5年度決算を据え置いてい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負担限度額を定める政令・省令</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調整交付金の一定の取組による減額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仕組みは、年齢区分の精緻化により交付額が増加する保険者について、①主要3事業のいずれかを実施していない場合、または②1人あたり給付費の外れ値に該当した保険者が帳票を活用した点検の実施率等を前年度の水準以上に保てなかった場合に、増加額の5%を減額するものであることを確認した。本村は主要3事業の実施数が2事業であるため①に該当し得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本村の交付額が増加するかと増加額（7区分による補正係数の提示後）。令和8年度の評価で主要3事業が0点である理由の村への確認（5-8(1)）</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5-8(3)・6-4⑦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1人あたり給付費の外れ値への該当の有無</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該当しないものとして扱っている（本村の1人あたり費用額は県内下位。2-7）。令和9年2月から令和10年1月までの1人あたり給付費により判定され、該当する場合は令和10年7月頃までに国から通知される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国からの通知。該当した場合は令和10年度下半期の点検の実施率等を令和9年度下半期以上に保つ必要があり、6-4⑦により毎年度記録する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特定地域サービス・特定地域居宅サービス等事業の制度の内容</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0で立てている。対象となるサービスの種類・人員配置基準の弾力化の程度・報酬の評価の方法・事業費の上限がいずれも未確定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省令・通知および介護給付費分科会の検討の結果</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省令・通知および村の活用の意向</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国の推計ツールの出力</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改定率の告示</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介護情報基盤への移行の時期と村のシステム対応</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全市町村において令和10年4月1日までにデータ移行を含めて完了し活用を開始することを目指すとされた（1-8の3）。村の介護保険事務システムの改修の内容・費用・工程は定まっていない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国からの移行の手順の提示と、村のシステム事業者との協議。費用が生じる場合は事務費として予算に計上する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ケアプランデータ連携の導入の状況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村内の居宅介護支援事業所・サービス事業所の導入の状況を把握していない。全国の導入率は令和8年7月末で53.1%。介護情報基盤への統合は令和9年1月を目処、介護ソフトとのAPI連携は令和9年4月以降とされた</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村内の事業所への照会。統合後は新しいシステムでの事業所・管理者の登録を要するため、登録の状況を把握する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1-8の3・施策3-1・施策4-6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都道府県と協定を締結した法人・事業所との連携</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織り込んでいない。市町村の果たすべき役割については引き続き検討することとされた。協定の対象となる法人・事業所も定まっていない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市町村の役割の提示と、県における協定の運用の開始。本村が利用している村外の事業者が協定の対象となるかの確認</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引き続き検討することとされた9事項</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いずれも織り込んでいない（第1号保険料負担の在り方、「一定以上所得」・「現役並み所得」の判断基準、多床室の室料負担、ケアマネジメントに関する給付の在り方、軽度者への生活援助サービス等、被保険者範囲・受給者範囲、金融所得・金融資産の反映、高額介護サービス費の在り方）。結論と施行の時期がいずれも定まっ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国における検討の結論。「一定以上所得」の判断基準のみ令和8年度中に結論を得るとされている（1-8の5）</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介護サービス事業者経営情報データベース（介護経営DB）の分析結果の活用の可否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用いていない。報告の受付が令和8年10月に再開される段階で、初年度・2年度目の分析の結果は令和9年4月以降に部会に報告される予定。複数サービス・法人単位の報告が全報告の64.0%を占め按分の処理に課題があるとされ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公表される分析結果の区分の単位。村の区域または圏域を単位とする値が得られるかの確認。指標には用いず供給の継続性を把握する情報源として用いる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国の推計ワークシートの提供は令和8年10月に受けました。提供前に挙げていた5点の確認の結果は次のとおりです。①所得段階別の第1号被保険者数は13段階すべてが登録され、補正後被保険者数は3か年3,054人で入っています。②保険料段階は標準の段階区分によるものでした（弾力化の行はすべて空です）。③補正係数（F・G）は入力されていましたが、当方の式による復元はFについて一致しませんでした（5-11）。④地域支援事業費・その他給付費・介護給付費準備基金・予定保険料収納率はいずれも入力されています。⑤令和6・7年度に実績があるのに令和8年度が0で入っているサービスが10件あり、うち6件は令和9年度以降も0です。本村からは、福祉用具購入費・住宅改修費および令和9年4月に新設されるサービスが0で入っていること、全体として暫定の数値であることの申し送りを受けています。受領したワークシートの出力日は令和8年10月5日です。出力日により内容が変わり得るため、資料を差し替える際に取り違えないよう記録しています。</w:t>
      </w:r>
    </w:p>
    <w:p>
      <w:pPr>
        <w:keepNext/>
        <w:keepLines/>
        <w:spacing w:after="100" w:line="300" w:lineRule="exact"/>
      </w:pPr>
      <w:r>
        <w:rPr>
          <w:rFonts w:ascii="游ゴシック" w:cs="游ゴシック" w:eastAsia="游ゴシック" w:hAnsi="游ゴシック"/>
          <w:b/>
          <w:bCs/>
          <w:color w:val="2E75B6"/>
          <w:sz w:val="22"/>
          <w:szCs w:val="22"/>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2808"/>
        <w:gridCol w:w="2808"/>
        <w:gridCol w:w="2714"/>
      </w:tblGrid>
      <w:tr>
        <w:trPr>
          <w:cantSplit/>
          <w:tblHeader/>
        </w:trPr>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確定の条件</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1-8の4・5-4(4)・5-5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中山間・人口減少地域（特定地域）の指定を受ける意向と、特定地域サービス・特定地域居宅サービス等事業を活用する意向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では該当する見込みであることと制度の内容が確定していないことを記載し、見込量は0で立てている。指定は村の意向を踏まえて都道府県が定めるため、計画に意向を記載することが手続の起点になる（1-8の4）</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村の判断。最終稿では、指定を希望するか、各制度を活用する意向があるかを記載する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令和5年度の決算で事業費の計上がないため0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施策1-2の創設の判断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待機者数・村外利用者数の把握後に判断</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平成30年度を最後に実績がないため0</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村の指定の判断（施策3-2）</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村との協議</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施策1-1の目標値の決定</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40,000千円（残高42,128千円の94.9%）を本体とし、3つの水準で算定している。条例上の基準額は取崩なし6,600円・24,000千円6,000円・40,000千円5,500円で、いずれも第9期の6,700円を下回る。第11期は逆の向きに動き、取崩なしでは第10期を7.2%下回るが、40,000千円では31.4%上回る</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村の決定（世代間の負担の公平・推計の誤差への備えに関わる）。第11期の確実な値は国の推計ワークシートを操作した再計算による</w:t>
            </w:r>
          </w:p>
        </w:tc>
      </w:tr>
      <w:tr>
        <w:trPr>
          <w:cantSplit/>
        </w:trPr>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第4章・6-3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推進体制</w:t>
      </w:r>
    </w:p>
    <w:p>
      <w:pPr>
        <w:spacing w:after="120" w:line="300" w:lineRule="exact"/>
      </w:pPr>
      <w:r>
        <w:rPr>
          <w:rFonts w:ascii="游ゴシック" w:cs="游ゴシック" w:eastAsia="游ゴシック" w:hAnsi="游ゴシック"/>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役割</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進捗管理の仕組み</w:t>
      </w:r>
    </w:p>
    <w:p>
      <w:pPr>
        <w:spacing w:after="120" w:line="300" w:lineRule="exact"/>
      </w:pPr>
      <w:r>
        <w:rPr>
          <w:rFonts w:ascii="游ゴシック" w:cs="游ゴシック" w:eastAsia="游ゴシック" w:hAnsi="游ゴシック"/>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803"/>
        <w:gridCol w:w="2247"/>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計画策定時</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各年度終了後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翌年度当初</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成果目標及び活動指標</w:t>
      </w:r>
    </w:p>
    <w:p>
      <w:pPr>
        <w:spacing w:after="120" w:line="300" w:lineRule="exact"/>
      </w:pPr>
      <w:r>
        <w:rPr>
          <w:rFonts w:ascii="游ゴシック" w:cs="游ゴシック" w:eastAsia="游ゴシック" w:hAnsi="游ゴシック"/>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lineRule="exact"/>
      </w:pPr>
      <w:r>
        <w:rPr>
          <w:rFonts w:ascii="游ゴシック" w:cs="游ゴシック" w:eastAsia="游ゴシック" w:hAnsi="游ゴシック"/>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182"/>
        <w:gridCol w:w="1872"/>
        <w:gridCol w:w="1310"/>
        <w:gridCol w:w="936"/>
        <w:gridCol w:w="1124"/>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lineRule="exact"/>
      </w:pPr>
      <w:r>
        <w:rPr>
          <w:rFonts w:ascii="游ゴシック" w:cs="游ゴシック" w:eastAsia="游ゴシック" w:hAnsi="游ゴシック"/>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keepNext/>
        <w:keepLines/>
        <w:spacing w:after="100" w:line="300" w:lineRule="exact"/>
      </w:pPr>
      <w:r>
        <w:rPr>
          <w:rFonts w:ascii="游ゴシック" w:cs="游ゴシック" w:eastAsia="游ゴシック" w:hAnsi="游ゴシック"/>
          <w:b/>
          <w:bCs/>
          <w:color w:val="2E75B6"/>
          <w:sz w:val="22"/>
          <w:szCs w:val="22"/>
        </w:rPr>
        <w:t xml:space="preserve">計画への記載により取得をめざす評価指標</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keepNext/>
        <w:keepLines/>
        <w:spacing w:after="100" w:line="300" w:lineRule="exact"/>
      </w:pPr>
      <w:r>
        <w:rPr>
          <w:rFonts w:ascii="游ゴシック" w:cs="游ゴシック" w:eastAsia="游ゴシック" w:hAnsi="游ゴシック"/>
          <w:b/>
          <w:bCs/>
          <w:color w:val="2E75B6"/>
          <w:sz w:val="22"/>
          <w:szCs w:val="22"/>
        </w:rPr>
        <w:t xml:space="preserve">残る61点の扱い</w:t>
      </w:r>
    </w:p>
    <w:p>
      <w:pPr>
        <w:spacing w:after="120" w:line="300" w:lineRule="exact"/>
      </w:pPr>
      <w:r>
        <w:rPr>
          <w:rFonts w:ascii="游ゴシック" w:cs="游ゴシック" w:eastAsia="游ゴシック" w:hAnsi="游ゴシック"/>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計画値と実績値の乖離の検証</w:t>
      </w:r>
    </w:p>
    <w:p>
      <w:pPr>
        <w:spacing w:after="120" w:line="300" w:lineRule="exact"/>
      </w:pPr>
      <w:r>
        <w:rPr>
          <w:rFonts w:ascii="游ゴシック" w:cs="游ゴシック" w:eastAsia="游ゴシック" w:hAnsi="游ゴシック"/>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621"/>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推計の補正率が適切であったか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要介護度ごとの推計精度。とくに要支援1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サービス種類別の乖離</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keepNext/>
        <w:keepLines/>
        <w:spacing w:after="100" w:line="300" w:lineRule="exact"/>
      </w:pPr>
      <w:r>
        <w:rPr>
          <w:rFonts w:ascii="游ゴシック" w:cs="游ゴシック" w:eastAsia="游ゴシック" w:hAnsi="游ゴシック"/>
          <w:b/>
          <w:bCs/>
          <w:color w:val="2E75B6"/>
          <w:sz w:val="22"/>
          <w:szCs w:val="22"/>
        </w:rPr>
        <w:t xml:space="preserve">給付適正化と交付金評価の進捗管理</w:t>
      </w:r>
    </w:p>
    <w:p>
      <w:pPr>
        <w:spacing w:after="120" w:line="300" w:lineRule="exact"/>
      </w:pPr>
      <w:r>
        <w:rPr>
          <w:rFonts w:ascii="游ゴシック" w:cs="游ゴシック" w:eastAsia="游ゴシック" w:hAnsi="游ゴシック"/>
          <w:sz w:val="21"/>
          <w:szCs w:val="21"/>
        </w:rPr>
        <w:t xml:space="preserve">上表の4項目に加えて、次の3つを毎年度の検証の対象とします。いずれも6-3の成果目標・活動指標と一体のものです。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2434"/>
        <w:gridCol w:w="318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検証の観点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主要3事業（要介護認定の適正化／ケアプラン等の点検／医療情報との突合・縦覧点検）の実施状況と定量目標の達成状況（5-8(1)）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⑦</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第1号被保険者1人あたり給付費と、国保連の介護給付適正化システムの帳票を活用した点検の実施率（5-8(3)）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介護保険事業状況報告・「見える化」システム・国保連の適正化システムの帳票</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外れ値（全保険者の平均値に標準偏差の2倍を加えた値）に対する本村の位置。外れ値に該当した旨の国からの通知の有無。下半期の点検の実施率が前年度の同期を下回っていないか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⑦は、調整交付金の一定の取組による減額（5-8(3)）に備えるためのものです。減額の要件②は、外れ値に該当した保険者の点検の実施率等が前年度の水準を下回った場合に生じるため、実施率を毎年度記録して水準を保っていることを示せるようにしておく必要があります。次の3つを毎年度の記録の対象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370"/>
        <w:gridCol w:w="2434"/>
        <w:gridCol w:w="1497"/>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管理指標</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数え方</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基準となる水準</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記録の時期</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ケアプラン等の点検件数</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前年度の同期の件数および実施率</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医療情報との突合の実施率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突合した帳票の件数 ÷ 国保連から配付された帳票の件数</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前年度の同期の実施率（令和7年度から16点満点を維持）</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縦覧点検の実施率</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点検した帳票の件数 ÷ 国保連から配付された帳票の件数（4帳票それぞれ）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前年度の同期の実施率（3年連続で全件点検）</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上半期・下半期ごと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減額の判定は下半期の実施率等によるとされているため（5-8(3)）、年間の合計ではなく上半期・下半期に分けて記録します。本村の縦覧点検と医療情報との突合はいずれも全件点検であり、水準を下回る余地は小さいものの、記録が残っていなければ水準を保ったことを示せません。ケアプラン等の点検は令和8年度に初めて得点を得た段階であり（5-8(1)）、件数の記録がとくに必要です。本村が外れ値に該当する可能性は低いと見られますが（5-8(3)）、該当の通知は国から事後に届くため、通知を受けてから記録を作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見直しの目安</w:t>
      </w:r>
    </w:p>
    <w:p>
      <w:pPr>
        <w:spacing w:after="120" w:line="300" w:lineRule="exact"/>
      </w:pPr>
      <w:r>
        <w:rPr>
          <w:rFonts w:ascii="游ゴシック" w:cs="游ゴシック" w:eastAsia="游ゴシック" w:hAnsi="游ゴシック"/>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2434"/>
        <w:gridCol w:w="5054"/>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記録にとどめる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要因を分析し、策定委員会に報告する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計画の見直し</w:t>
      </w:r>
    </w:p>
    <w:p>
      <w:pPr>
        <w:spacing w:after="120" w:line="300" w:lineRule="exact"/>
      </w:pPr>
      <w:r>
        <w:rPr>
          <w:rFonts w:ascii="游ゴシック" w:cs="游ゴシック" w:eastAsia="游ゴシック" w:hAnsi="游ゴシック"/>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lineRule="exact"/>
      </w:pPr>
      <w:r>
        <w:rPr>
          <w:rFonts w:ascii="游ゴシック" w:cs="游ゴシック" w:eastAsia="游ゴシック" w:hAnsi="游ゴシック"/>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2059"/>
        <w:gridCol w:w="3370"/>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見直しの要否</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確定後に給付費・保険料を再算定</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活用する場合は見込量に追加</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施行の状況により記述を更新</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資1　計画の策定経過</w:t>
      </w:r>
    </w:p>
    <w:p>
      <w:pPr>
        <w:spacing w:after="120" w:line="300" w:lineRule="exact"/>
      </w:pPr>
      <w:r>
        <w:rPr>
          <w:rFonts w:ascii="游ゴシック" w:cs="游ゴシック" w:eastAsia="游ゴシック" w:hAnsi="游ゴシック"/>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策定業務の委託契約（委託第27号）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議会全員協議会（計画案の説明）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編集注記：第1回策定委員会は本業務の受託前に開催されています。空欄の日付は確定後に記入します。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資2　北塩原村高齢者福祉計画・介護保険事業計画策定委員会</w:t>
      </w:r>
    </w:p>
    <w:p>
      <w:pPr>
        <w:keepNext/>
        <w:keepLines/>
        <w:spacing w:after="100" w:line="300" w:lineRule="exact"/>
      </w:pPr>
      <w:r>
        <w:rPr>
          <w:rFonts w:ascii="游ゴシック" w:cs="游ゴシック" w:eastAsia="游ゴシック" w:hAnsi="游ゴシック"/>
          <w:b/>
          <w:bCs/>
          <w:color w:val="2E75B6"/>
          <w:sz w:val="22"/>
          <w:szCs w:val="22"/>
        </w:rPr>
        <w:t xml:space="preserve">設置の根拠</w:t>
      </w:r>
    </w:p>
    <w:p>
      <w:pPr>
        <w:spacing w:after="120" w:line="300" w:lineRule="exact"/>
      </w:pPr>
      <w:r>
        <w:rPr>
          <w:rFonts w:ascii="游ゴシック" w:cs="游ゴシック" w:eastAsia="游ゴシック" w:hAnsi="游ゴシック"/>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keepNext/>
        <w:keepLines/>
        <w:spacing w:after="100" w:line="300" w:lineRule="exact"/>
      </w:pPr>
      <w:r>
        <w:rPr>
          <w:rFonts w:ascii="游ゴシック" w:cs="游ゴシック" w:eastAsia="游ゴシック" w:hAnsi="游ゴシック"/>
          <w:b/>
          <w:bCs/>
          <w:color w:val="2E75B6"/>
          <w:sz w:val="22"/>
          <w:szCs w:val="22"/>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2059"/>
        <w:gridCol w:w="206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keepNext/>
        <w:keepLines/>
        <w:spacing w:after="100" w:line="300" w:lineRule="exact"/>
      </w:pPr>
      <w:r>
        <w:rPr>
          <w:rFonts w:ascii="游ゴシック" w:cs="游ゴシック" w:eastAsia="游ゴシック" w:hAnsi="游ゴシック"/>
          <w:b/>
          <w:bCs/>
          <w:color w:val="2E75B6"/>
          <w:sz w:val="22"/>
          <w:szCs w:val="22"/>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2246"/>
        <w:gridCol w:w="5991"/>
      </w:tblGrid>
      <w:tr>
        <w:trPr>
          <w:cantSplit/>
          <w:tblHeader/>
        </w:trPr>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主な議題</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策定方針、スケジュール</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rPr>
          <w:cantSplit/>
        </w:trPr>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資3　アンケート調査の概要</w:t>
      </w:r>
    </w:p>
    <w:p>
      <w:pPr>
        <w:spacing w:after="120" w:line="300" w:lineRule="exact"/>
      </w:pPr>
      <w:r>
        <w:rPr>
          <w:rFonts w:ascii="游ゴシック" w:cs="游ゴシック" w:eastAsia="游ゴシック" w:hAnsi="游ゴシック"/>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3931"/>
        <w:gridCol w:w="3931"/>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150人</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認定調査員による聞き取り</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令和8年9月〜10月</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編集注記：回収数・有効回収率は集計後に記入します。ニーズ調査は国の「介護予防・日常生活圏域ニーズ調査 実施の手引き」（令和7年8月版）の必須35問を用いています。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　日から令和8年12月　日まで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郵送、ファクシミリ、電子メール、窓口持参</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3744"/>
        <w:gridCol w:w="131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計画への反映</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編集注記：パブリックコメントの実施後に記入します。行数は意見件数に応じて調整します。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資5　用語の解説</w:t>
      </w:r>
    </w:p>
    <w:p>
      <w:pPr>
        <w:spacing w:after="120" w:line="300" w:lineRule="exact"/>
      </w:pPr>
      <w:r>
        <w:rPr>
          <w:rFonts w:ascii="游ゴシック" w:cs="游ゴシック" w:eastAsia="游ゴシック" w:hAnsi="游ゴシック"/>
          <w:sz w:val="21"/>
          <w:szCs w:val="21"/>
        </w:rPr>
        <w:t xml:space="preserve">本計画で用いている用語のうち、説明を要するものを50音順に整理しました。</w:t>
      </w:r>
    </w:p>
    <w:p>
      <w:pPr>
        <w:keepNext/>
        <w:keepLines/>
        <w:spacing w:after="100" w:line="300" w:lineRule="exact"/>
      </w:pPr>
      <w:r>
        <w:rPr>
          <w:rFonts w:ascii="游ゴシック" w:cs="游ゴシック" w:eastAsia="游ゴシック" w:hAnsi="游ゴシック"/>
          <w:b/>
          <w:bCs/>
          <w:color w:val="2E75B6"/>
          <w:sz w:val="22"/>
          <w:szCs w:val="22"/>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医療情報との突合・縦覧点検を「主要3事業」としています。名称は第7期「介護給付適正化計画」に関する指針によります（1-8の3の出典の資料5）。</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65歳以上75歳未満の方をいいます。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総合相談支援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説明</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編集注記：計画本文に用語が追加された場合は、本表にも追加します。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資6　基本指針の別表「確認すべき指標・状況」への対応</w:t>
      </w:r>
    </w:p>
    <w:p>
      <w:pPr>
        <w:spacing w:after="120" w:line="300" w:lineRule="exact"/>
      </w:pPr>
      <w:r>
        <w:rPr>
          <w:rFonts w:ascii="游ゴシック" w:cs="游ゴシック" w:eastAsia="游ゴシック" w:hAnsi="游ゴシック"/>
          <w:sz w:val="21"/>
          <w:szCs w:val="21"/>
        </w:rPr>
        <w:t xml:space="preserve">国の第10期基本指針の別表は、市町村が計画の策定にあたって確認すべき指標・状況を11の事項に整理しています。本計画における対応は次のとおりです。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4774"/>
        <w:gridCol w:w="3089"/>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77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確認すべき指標・状況</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本計画の該当箇所</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地勢と交通（訪問・通所が困難な地域のアクセスと社会資源）</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1-5、1-8の4、2-1、施策2-1、施策2-6</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二</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人口構造（年齢三区分人口、高齢化率、世帯数）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人口動態（出生・死亡、健康寿命、死亡場所別の死亡数）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2-1、2-5、2-8、6-3、施策4-3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四</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認定者数の状況（要介護度別、年齢調整後の認定率、計画と実績の乖離）</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2-3、2-8、2-9、5-3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五</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介護サービス等の利用状況（受給者数、受給率、自給率、1人当たり費用額・算定回数、介護SCR）</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2-4、2-5、5-4、5-8(4)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介護サービス見込量（見込量、地域支援事業見込量、家族の就業の状況・意向）</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5-4、5-5、2-10</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介護保険施設・事業所の状況（施設・事業所数、利用者数、入所率・稼働率、従事者数）</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2-5、5-4(8)、5-4(12)</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高齢者向け住まいの状況（施設数・戸数、入居者数、定員、要介護者等である入居者の状況）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1-8の1、4-6、5-4(1)、施策2-3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一部</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九</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地域支援事業の状況（多様なサービス・活動、通いの場、相談体制、インセンティブ交付金の評価）</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2-6、2-8、5-5、施策1-1、施策1-2、施策4-1</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医療介護連携の状況（医療介護連携に関する加算の算定状況）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2-5、施策4-3</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十一</w:t>
            </w:r>
          </w:p>
        </w:tc>
        <w:tc>
          <w:tcPr>
            <w:tcW w:type="dxa" w:w="477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認知症の人の数及び関連施策の状況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2-3、4-7、施策4-4</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対応</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一部の対応にとどまっている事項</w:t>
      </w:r>
    </w:p>
    <w:p>
      <w:pPr>
        <w:spacing w:after="120" w:line="300" w:lineRule="exact"/>
      </w:pPr>
      <w:r>
        <w:rPr>
          <w:rFonts w:ascii="游ゴシック" w:cs="游ゴシック" w:eastAsia="游ゴシック" w:hAnsi="游ゴシック"/>
          <w:sz w:val="21"/>
          <w:szCs w:val="21"/>
        </w:rPr>
        <w:t xml:space="preserve">上表で「一部」とした4事項について、何が対応できていないか、何で代えているかを示します。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3182"/>
        <w:gridCol w:w="3557"/>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対応できていない指標</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代わりに用いているもの</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三</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死亡場所別の死亡数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の地域分析に「在宅死亡者数（自宅）」の偏差値33.68が収録されていますが、値36.74の単位が「人」とされており、本村の年間死亡数に照らすと実数ではありません。同システムの出典の表記は、人口動態調査（医療計画作成支援データブックのオープンデータ）と住民基本台帳人口の両方を挙げており、人口あたりの率とみられますが分母が示されていません。人口動態統計の市町村別の公表は死亡場所別の内訳を含み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に偏差値のみを掲げ、全国平均を大きく下回ることを示しています。施策4-3に在宅医療・介護連携の課題として看取りへの対応を掲げ、看取り介護加算の算定が0.0%であること（2-5）から連携の必要性を示しています。分母の確認先は村ではなく、国のオープンデータの定義で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家族の就業の状況・意向</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在宅介護実態調査の結果によるもので、調査は本計画と並行して実施しています。第9期調査の集計結果のうち就業に関する項目は手元にありません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2-10に調査の枠を置き、結果が得られた時点で反映します。第10期の在宅介護実態調査では、介護者の勤務形態（B票 問7）と就労継続の見通し（B票 問10）で把握します。集計の定義は集計仕様書のクロス集計X-16（要介護度×就労継続の見通し）・X-17（介護者の勤務形態×不安に感じる介護）に定めてあり、結果が得られ次第2-10と施策4-1に反映できる状態にし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七</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入退所の状況、従事者数</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入所施設は認知症対応型共同生活介護のみで、利用の多くは村外施設です。入退所の状況と従事者数は村に実績の集計がありません。「見える化」システムにも、介護サービス事業所の入退所の状況・従事者数の系列はありません（収録されている人員体制は地域包括支援センターのものに限られま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事業所数は「見える化」システムのサービス提供事業所数により28サービスすべてについて平成24年度から令和6年度まで把握し、2-5に掲げています。入所率・稼働率は、定員と受給者数から認知症対応型共同生活介護96.3%（令和8年度・県の整備量見込みシート）・通所介護77.8%（令和7年度・当方の算定）として算定し、5-4(5)に掲げています。従事者数は、生産年齢人口比による担い手の枠の試算（5-4(12)）で代えてい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八</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指定を受けない有料老人ホーム・サービス付き高齢者向け住宅の有無</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指定を受けた特定施設入居者生活介護・地域密着型特定施設入居者生活介護の事業所は、村内に平成24年度から令和6年度まで一貫して0です（2-5）。これに対し、指定を受けない住宅型有料老人ホームとサービス付き高齢者向け住宅は、老人福祉法第29条の届出と高齢者住まい法の登録がいずれも県の所管であるため、村に情報が入りません</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の施設数・戸数・定員は、指定を受けた事業所について0であることを確かめています（2-5）。要介護者等である入居者の状況は、特定施設入居者生活介護の給付実績により把握できます。本村の第1号被保険者のうち月あたり3.3人が利用しており（令和7年度・5-4(1)）、村外の高齢者向け住まいに介護を受けながら住んでいる方がいることを示します。4-6に村外施設の利用による確保を掲げ、施策2-3で村外施設の情報の把握に取り組むこととしています。令和8年法律第51号による登録制の導入後は登録情報により把握できる見込みで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十（医療介護連携に関する加算の算定状況）は、「見える化」システムの地域分析（医療介護連携）に算定率と偏差値が収録されていることが分かったため、2-5に掲げて対応としました。村の給付実績の集計を待たずに確認できたものです。</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七・八について、「見える化」システムに使える系列がないかを改めて当たりました。介護サービス事業所の入所率・稼働率・従事者数の系列はなく、収録されている人員体制は地域包括支援センターのものに限られます。一方、要介護者等である入居者の状況は特定施設入居者生活介護の給付実績により把握できることが分かり、事項八の対応できていない指標を「施設数・戸数・定員」に絞りました。</w:t>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編集注記：事項六・七については、必要な集計が得られた時点で該当する節に加え、本表の対応の欄を改めます。5-12(1)の据え置いた項目と重なります。事項三は在宅死亡者数の単位の確認が前提です。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資7　主な参照資料</w:t>
      </w:r>
    </w:p>
    <w:p>
      <w:pPr>
        <w:spacing w:after="120" w:line="300" w:lineRule="exact"/>
      </w:pPr>
      <w:r>
        <w:rPr>
          <w:rFonts w:ascii="游ゴシック" w:cs="游ゴシック" w:eastAsia="游ゴシック" w:hAnsi="游ゴシック"/>
          <w:sz w:val="21"/>
          <w:szCs w:val="21"/>
        </w:rPr>
        <w:t xml:space="preserve">本計画の策定に用いた主な資料は次のとおりです。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5242"/>
        <w:gridCol w:w="2808"/>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52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用いた箇所</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介護保険法、老人福祉法、認知症基本法、高齢者虐待防止法</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社会福祉法等の一部を改正する法律（令和8年法律第51号）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法令・告示</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介護給付適正化計画に関する指針（令和5年9月12日老介発0912第1号）</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第10期介護保険事業計画の基本指針（案）</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1-8、資6</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社会保障審議会介護保険部会資料（第135回・令和8年6月29日）</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社会保障審議会介護保険部会資料（第136回・令和8年9月18日）資料1〜6</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1-8の3、5-7、5-8、5-12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令和8年3月 全国介護保険・高齢者保健福祉担当課長会議資料</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1-8の2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国勢調査（総務省）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2-1、5-1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住民基本台帳（北塩原村）</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2-1、2-2、5-2</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日本の地域別将来推計人口（国立社会保障・人口問題研究所）</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2-2、5-1、5-11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統計</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介護保険事業状況報告（厚生労働省）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システム</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2-3、2-4、2-5、2-6、5-3、5-4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公表資料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保険者機能強化推進交付金・介護保険保険者努力支援交付金の評価結果（厚生労働省）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2-8、5-9、6-3</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介護保険特別会計決算、介護給付費準備基金の状況</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2-7、5-6、5-7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令和8年度合計所得金額分布調査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村の資料</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第9期北塩原村高齢者福祉計画・第9期北塩原村介護保険事業計画</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2-9、3-1</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w:t>
            </w:r>
          </w:p>
        </w:tc>
        <w:tc>
          <w:tcPr>
            <w:tcW w:type="dxa" w:w="52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介護予防・日常生活圏域ニーズ調査、在宅介護実態調査（本計画と並行して実施）</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編集注記：各表・各図の出典は本文のそれぞれの箇所に示しています。本表は区分ごとの一覧です。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資8　図表番号一覧</w:t>
      </w:r>
    </w:p>
    <w:p>
      <w:pPr>
        <w:spacing w:after="120" w:line="300" w:lineRule="exact"/>
      </w:pPr>
      <w:r>
        <w:rPr>
          <w:rFonts w:ascii="游ゴシック" w:cs="游ゴシック" w:eastAsia="游ゴシック" w:hAnsi="游ゴシック"/>
          <w:sz w:val="21"/>
          <w:szCs w:val="21"/>
        </w:rPr>
        <w:t xml:space="preserve">本計画に掲載した図の一覧です。番号は本文に現れる順に付しています。表には番号を付していません。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3744"/>
        <w:gridCol w:w="1498"/>
        <w:gridCol w:w="3182"/>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図番号</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図表名</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掲載箇所</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出典</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年齢階級別人口の比較（平成22年・令和7年）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高齢化率の推移と将来推計（村・福島県・全国）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将来推計人口（年齢3区分）</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前期高齢者と後期高齢者の推移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要支援・要介護認定率の推移（村・福島県・全国）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 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要支援1の認定者数の推移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厚生労働省「介護保険事業状況報告」</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新規認定者に占める要支援1の割合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性・年齢調整済み認定率の推移（要介護度の区分別）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第1号被保険者1人1月あたり費用額（村・福島県・全国）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費用額の推移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在宅・施設居住系別 第1号被保険者1人1月あたり給付月額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サービス区分別 1人1月あたり給付月額の変化（平成29年度→令和7年度）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受給率の内訳（在宅・居住系・施設別）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要支援・要介護者1人あたり定員の推移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図2-16</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事業所数からみた供給体制の位置（偏差値）</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図2-17</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医療と介護の連携に関する加算の算定率と全国の中での位置</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　地域分析（医療介護連携）</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図2-18</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地域支援事業費の推移（内訳別）</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図2-19</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住民主体の通いの場の状況（令和6年度）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厚生労働省「介護予防・日常生活支援総合事業（地域支援事業）の実施状況に関する調査」</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保険給付費・地域支援事業費・保険料収入の推移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介護保険特別会計決算</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介護保険料基準額の推移（村・福島県・全国）</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保険料基準額と必要保険料額の対比</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地域包括ケア「見える化」システム</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目標別得点と全国平均の対比（令和8年度）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厚生労働省「令和8年度評価指標に係る該当状況調査票集計表」</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図2-24</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 合計得点の推移（村・福島県平均・全国平均）</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第2章 2-8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図3-1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施策の体系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第3章 3-4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需要に対する供給（担い手の枠）</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総務省「国勢調査」、国立社会保障・人口問題研究所「日本の地域別将来推計人口」、地域包括ケア「見える化」システムにより算定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算定上の保険料月額と条例上の基準額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本計画の算定による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図5-3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給付適正化の取組別得点の推移（推進交付金 目標Ⅱ）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第5章 5-8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厚生労働省「評価指標に係る該当状況調査票集計表」（令和6〜8年度）により算定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資9　関連計画との対照</w:t>
      </w:r>
    </w:p>
    <w:p>
      <w:pPr>
        <w:spacing w:after="120" w:line="300" w:lineRule="exact"/>
      </w:pPr>
      <w:r>
        <w:rPr>
          <w:rFonts w:ascii="游ゴシック" w:cs="游ゴシック" w:eastAsia="游ゴシック" w:hAnsi="游ゴシック"/>
          <w:sz w:val="21"/>
          <w:szCs w:val="21"/>
        </w:rPr>
        <w:t xml:space="preserve">本計画と関連する計画との重なりを示します。同じ地域の同じ方を対象とする場面があるため、どの事項がどちらの計画で扱われ、どのように整合をとるかを一覧にしました（1-4）。</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123"/>
        <w:gridCol w:w="2246"/>
        <w:gridCol w:w="3182"/>
        <w:gridCol w:w="937"/>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計画期間</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本計画と重なる事項</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整合のとり方</w:t>
            </w:r>
          </w:p>
        </w:tc>
        <w:tc>
          <w:tcPr>
            <w:tcW w:type="dxa" w:w="93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北塩原村第五次総合振興計画（上位計画）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平成29〜令和8年度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施策19「穏やかな暮らしの支援」（相談・支援体制の充実）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本計画は同施策を高齢者の分野で具体化する。計画期間が令和8年度で満了するため、第六次の策定状況を確認して記述を確定する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福島県保健医療計画（第八次）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令和6〜11年度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在宅医療の体制、地域医療構想における病床の機能分化・連携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介護保険法第117条第5項により整合が義務。会津・南会津区域の記載を確認し施策4-3を組み立てる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第8期障がい福祉計画・第4期障がい児福祉計画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令和9〜11年度（本計画と同一）</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65歳・40歳到達による制度間の移行、共生型サービス、成年後見、住まい、移動・冬期の支援、災害時の支援、家族介護者の支援、人材の確保</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年齢に達した方ごとに移行の可否を確かめ、実際に移る分だけを両計画の見込量へ同じ年度に反映する（1-4・施策3-1・施策4-1）。地域の資源は同じであるため実績を共有する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同時に策定中</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第3次健康21・北塩原村グッドヘルスプラン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令和6〜17年度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介護予防、健康づくり、こころの健康、特定健康診査の受診率</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保健事業と介護予防の一体的実施（施策1-6）および一般介護予防事業（施策1-3）で連携する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北塩原村地域福祉計画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権利擁護、支え合いの活動、包括的な支援体制</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重層的支援体制整備事業の実施状況を確認し、施策2-5・施策4-5・施策4-7と役割を分ける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第四次北塩原村生涯学習推進計画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平成30〜令和9年度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高齢者生きがい健康づくり事業、高齢期の学習支援、地域で見守り・育む高齢者の支援、シルバー人材センターの充実</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令和9年度までは本計画と整合を図り、令和10年度以降は第五次（策定予定）と整合を図る。見守りの体制づくりは施策2-5・施策4-5と、生きがい・学習は施策2-2と重なるため所管を明記して連携する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受領済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第2期北塩原村子ども・子育て支援事業計画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確認中</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ヤングケアラーへの対応、世帯を単位とした支援</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家族介護者の支援（施策4-4）と役割を分ける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未受領</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中核機関の整備、権利擁護</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本計画が市町村計画を兼ねる位置づけとし（1-2）、施策4-7に記載する。中核機関は会津権利擁護・成年後見センター（会津圏域11市町村）による</w:t>
            </w:r>
          </w:p>
        </w:tc>
        <w:tc>
          <w:tcPr>
            <w:tcW w:type="dxa" w:w="93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障がい福祉計画との対照のうち、数で揃える必要があるものは次の3つです。いずれも村の個票により1人ずつ確かめるもので、本計画には人数のみを載せます。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4492"/>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揃える対象</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本計画での扱い</w:t>
            </w:r>
          </w:p>
        </w:tc>
        <w:tc>
          <w:tcPr>
            <w:tcW w:type="dxa" w:w="449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確かめる内容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40歳から64歳までの第2号被保険者の認定者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各年度2人から3人（5-3）</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障がい福祉サービスの受給者・障害支援区分の認定者と重なる方がいるか。若年性認知症の方が含まれるか（4-7(2)）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令和9年度から令和11年度までに65歳に達する障がい福祉サービス利用者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移行が見込まれる分のみ見込量に算入（5-4）</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到達の年月、現に利用しているサービスと量、介護保険に相当するサービスの有無、受入れの可否、障がい福祉として続けるサービス、共生型サービスの利用の可否、本人の意向</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介護保険の適用除外となる施設の入所者</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第1号被保険者数から除く（5-1）</w:t>
            </w:r>
          </w:p>
        </w:tc>
        <w:tc>
          <w:tcPr>
            <w:tcW w:type="dxa" w:w="449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指定障害者支援施設に生活介護および施設入所支援の支給決定を受けて入所している方は介護保険の被保険者とならない。障がい福祉計画の施設入所支援の利用者と同一の名簿で確かめる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60" w:before="100" w:line="280" w:lineRule="exact"/>
        <w:ind w:left="200" w:right="200"/>
      </w:pPr>
      <w:r>
        <w:rPr>
          <w:rFonts w:ascii="游ゴシック" w:cs="游ゴシック" w:eastAsia="游ゴシック" w:hAnsi="游ゴシック"/>
          <w:color w:val="595959"/>
          <w:sz w:val="17"/>
          <w:szCs w:val="17"/>
        </w:rPr>
        <w:t xml:space="preserve">⚙ 編集注記：本節は村のご確認を前提とします。障がい福祉計画は同時に策定中であり、同計画の第7章（他計画との連携）は健康21・総合振興計画・こども計画の3計画を扱っています。本計画との連携の節を双方に置く必要があるため、障がい福祉担当との協議のうえ記載を揃えます。適用除外となる施設の入所者がいる場合、第1号被保険者数が減り保険料の分母が動きます。人口・高齢化率は、本計画が国立社会保障・人口問題研究所の推計を用い、障がい福祉計画が住民基本台帳の実績を用いています。系列が違うため値も異なります（2-1）。</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ebcd7bfea99667e2587bbcc318f90cebbd4ad3.png"/><Relationship Id="rId10" Type="http://schemas.openxmlformats.org/officeDocument/2006/relationships/image" Target="media/fb6c66da6ed8fd3c12c26cc2466cda6166d18418.png"/><Relationship Id="rId11" Type="http://schemas.openxmlformats.org/officeDocument/2006/relationships/image" Target="media/a31bf2657abca3ddedcefc51e6537cce74d87169.png"/><Relationship Id="rId12" Type="http://schemas.openxmlformats.org/officeDocument/2006/relationships/image" Target="media/aaca7e4d3e6729a9885fc43163d7c2240dfb80be.png"/><Relationship Id="rId13" Type="http://schemas.openxmlformats.org/officeDocument/2006/relationships/image" Target="media/008e8fcbefbd3705afac82fe743f2ca91f139deb.png"/><Relationship Id="rId14" Type="http://schemas.openxmlformats.org/officeDocument/2006/relationships/image" Target="media/90b9c337d42e77d8e401fa1d702404fa2f381652.png"/><Relationship Id="rId15" Type="http://schemas.openxmlformats.org/officeDocument/2006/relationships/image" Target="media/9a94b01e6f554a1d66432be79f3a64a9e9bc1f9c.png"/><Relationship Id="rId16" Type="http://schemas.openxmlformats.org/officeDocument/2006/relationships/image" Target="media/c13b382556b6f74f9ef7930895dbca37263895b0.png"/><Relationship Id="rId17" Type="http://schemas.openxmlformats.org/officeDocument/2006/relationships/image" Target="media/262f56d567c7f6e23bdb661e2745c9b3a913147d.png"/><Relationship Id="rId18" Type="http://schemas.openxmlformats.org/officeDocument/2006/relationships/image" Target="media/60b40d71ebdeb399bc7ca4828d787b90308b55e0.png"/><Relationship Id="rId19" Type="http://schemas.openxmlformats.org/officeDocument/2006/relationships/image" Target="media/92f1b47124cf4e73ec60af37d4ed8f9fb1092eb0.png"/><Relationship Id="rId20" Type="http://schemas.openxmlformats.org/officeDocument/2006/relationships/image" Target="media/89c4b901ca057b5ec2c4ad9e0f433cd0471499d9.png"/><Relationship Id="rId21" Type="http://schemas.openxmlformats.org/officeDocument/2006/relationships/image" Target="media/4f2466eeb158b9ba7988356f43e2f29de519e841.png"/><Relationship Id="rId22" Type="http://schemas.openxmlformats.org/officeDocument/2006/relationships/image" Target="media/87448cd60bbda0fc9502757054b25801574e34fd.png"/><Relationship Id="rId23" Type="http://schemas.openxmlformats.org/officeDocument/2006/relationships/image" Target="media/cbb78c187eca48185f18fe45fce903e149e0b421.png"/><Relationship Id="rId24" Type="http://schemas.openxmlformats.org/officeDocument/2006/relationships/image" Target="media/cb6957291fc7637d3ffb43033e56c16964753fff.png"/><Relationship Id="rId25" Type="http://schemas.openxmlformats.org/officeDocument/2006/relationships/image" Target="media/2785cacca571e03bc5aeb55c44e0c3464310859c.png"/><Relationship Id="rId26" Type="http://schemas.openxmlformats.org/officeDocument/2006/relationships/image" Target="media/006169ede3d99dcbe08323d0b0f64868ea020617.png"/><Relationship Id="rId27" Type="http://schemas.openxmlformats.org/officeDocument/2006/relationships/image" Target="media/68f940da84dc8dc4c4d11f4bc2812526e5b77ab6.png"/><Relationship Id="rId28" Type="http://schemas.openxmlformats.org/officeDocument/2006/relationships/image" Target="media/c4aae76f3520550a8d58af86865bd4098163f5c2.png"/><Relationship Id="rId29" Type="http://schemas.openxmlformats.org/officeDocument/2006/relationships/image" Target="media/723447c6cbd7689a1ec64e806ebfe12b499dc876.png"/><Relationship Id="rId30" Type="http://schemas.openxmlformats.org/officeDocument/2006/relationships/image" Target="media/df7397870364abfc987013d01820c8cb4529a44a.png"/><Relationship Id="rId31" Type="http://schemas.openxmlformats.org/officeDocument/2006/relationships/image" Target="media/c869aab66d2f7fa1125ec922fe68d0809f0c95a1.png"/><Relationship Id="rId32" Type="http://schemas.openxmlformats.org/officeDocument/2006/relationships/image" Target="media/9ad0b4fa5d81bd1ad231b6264568683b9b2a55f0.png"/><Relationship Id="rId33" Type="http://schemas.openxmlformats.org/officeDocument/2006/relationships/image" Target="media/3d06d96bb60823e61760997b4189c5da52e8b50c.png"/><Relationship Id="rId34" Type="http://schemas.openxmlformats.org/officeDocument/2006/relationships/image" Target="media/7462f148abc3379be3886a4d187e883489283f96.png"/><Relationship Id="rId35" Type="http://schemas.openxmlformats.org/officeDocument/2006/relationships/image" Target="media/34c4c81f2acaa827e1309a571af62921ca7b7988.png"/><Relationship Id="rId36" Type="http://schemas.openxmlformats.org/officeDocument/2006/relationships/image" Target="media/cbdb7c1cc66d1fa9d322a098c06a3f50febebd1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2026-10-10T13:33:49.845Z</dcterms:created>
  <dcterms:modified xsi:type="dcterms:W3CDTF">2026-10-10T13:33:49.856Z</dcterms:modified>
</cp:coreProperties>
</file>

<file path=docProps/custom.xml><?xml version="1.0" encoding="utf-8"?>
<Properties xmlns="http://schemas.openxmlformats.org/officeDocument/2006/custom-properties" xmlns:vt="http://schemas.openxmlformats.org/officeDocument/2006/docPropsVTypes"/>
</file>