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精神病床から退院後１年以内の地域における平均生活日数：319.3日以上（設定時点で既に319.3日以上の場合は、その時点の平均生活日数以上）</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国の基本指針別表第二の三の項は、「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の第８期障がい福祉計画における算定値の提供を県に依頼し、本村の区域における基盤整備量（利用者数）を本項に記載してください。</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は障がい福祉サービスを提供する事業所がなく、会津北部圏域（猪苗代町・磐梯町・湯川村）及び近隣市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