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関係機関と連携の内容</w:t>
      </w:r>
    </w:p>
    <w:p>
      <w:r>
        <w:rPr>
          <w:b w:val="0"/>
          <w:sz w:val="18"/>
        </w:rPr>
        <w:t>表５-41　障がい福祉サービス等に係る給付費の推移</w:t>
      </w:r>
    </w:p>
    <w:p>
      <w:r>
        <w:rPr>
          <w:b w:val="0"/>
          <w:sz w:val="18"/>
        </w:rPr>
        <w:t>表５-42　財源構成（令和７年度・法定負担割合による試算）</w:t>
      </w:r>
    </w:p>
    <w:p>
      <w:r>
        <w:rPr>
          <w:b w:val="0"/>
          <w:sz w:val="18"/>
        </w:rPr>
        <w:t>表５-43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表５-40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表５-41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表５-42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表５-43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