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 w:line="320"/>
      </w:pPr>
      <w:r>
        <w:rPr>
          <w:rFonts w:ascii="游ゴシック" w:cs="游ゴシック" w:eastAsia="游ゴシック" w:hAnsi="游ゴシック"/>
          <w:b w:val="1"/>
          <w:bCs w:val="1"/>
          <w:i w:val="false"/>
          <w:iCs w:val="false"/>
          <w:sz w:val="28"/>
          <w:szCs w:val="28"/>
        </w:rPr>
        <w:t xml:space="preserve">川崎町高齢者保健福祉計画
第10期介護保険事業計画
概要版</w:t>
      </w:r>
    </w:p>
    <w:p>
      <w:pPr>
        <w:spacing w:after="80" w:before="50" w:line="320"/>
        <w:ind w:firstLine="200"/>
        <w:jc w:val="left"/>
      </w:pPr>
      <w:r>
        <w:rPr>
          <w:rFonts w:ascii="游ゴシック" w:cs="游ゴシック" w:eastAsia="游ゴシック" w:hAnsi="游ゴシック"/>
          <w:i w:val="false"/>
          <w:iCs w:val="false"/>
          <w:sz w:val="20"/>
          <w:szCs w:val="20"/>
        </w:rPr>
        <w:t xml:space="preserve">令和9年度から令和11年度までの3年間の、高齢者福祉と介護保険の進め方を定めた計画です。</w:t>
      </w:r>
    </w:p>
    <w:p>
      <w:pPr>
        <w:spacing w:after="80" w:before="50" w:line="320"/>
        <w:ind w:firstLine="200"/>
        <w:jc w:val="left"/>
      </w:pPr>
      <w:r>
        <w:rPr>
          <w:rFonts w:ascii="游ゴシック" w:cs="游ゴシック" w:eastAsia="游ゴシック" w:hAnsi="游ゴシック"/>
          <w:i w:val="false"/>
          <w:iCs w:val="false"/>
          <w:sz w:val="20"/>
          <w:szCs w:val="20"/>
        </w:rPr>
        <w:t xml:space="preserve">この計画は、65歳以上の方の介護保険料と、町が行う高齢者福祉の3年間を定めるものです。計画の全文は町のホームページでご覧いただけます。</w:t>
      </w:r>
    </w:p>
    <w:p>
      <w:pPr>
        <w:spacing w:after="80" w:before="180" w:line="300"/>
      </w:pPr>
      <w:r>
        <w:rPr>
          <w:rFonts w:ascii="游ゴシック" w:cs="游ゴシック" w:eastAsia="游ゴシック" w:hAnsi="游ゴシック"/>
          <w:b w:val="1"/>
          <w:bCs w:val="1"/>
          <w:i w:val="false"/>
          <w:iCs w:val="false"/>
          <w:sz w:val="21"/>
          <w:szCs w:val="21"/>
        </w:rPr>
        <w:t xml:space="preserve">１　川崎町の高齢者のいま</w:t>
      </w:r>
    </w:p>
    <w:p>
      <w:pPr>
        <w:spacing w:after="80" w:before="50" w:line="320"/>
        <w:ind w:firstLine="200"/>
        <w:jc w:val="left"/>
      </w:pPr>
      <w:r>
        <w:rPr>
          <w:rFonts w:ascii="游ゴシック" w:cs="游ゴシック" w:eastAsia="游ゴシック" w:hAnsi="游ゴシック"/>
          <w:i w:val="false"/>
          <w:iCs w:val="false"/>
          <w:sz w:val="20"/>
          <w:szCs w:val="20"/>
        </w:rPr>
        <w:t xml:space="preserve">川崎町の高齢化率は令和8年6月末で42.0％です（総人口7,648人のうち65歳以上が3,209人）。全国平均29.1％・宮城県平均28.5％を大きく上回り、県内35市町村のなかで5番目に高い町です。</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3018047"/>
            <wp:docPr id="1" name="Picture 1"/>
            <wp:cNvGraphicFramePr>
              <a:graphicFrameLocks noChangeAspect="1"/>
            </wp:cNvGraphicFramePr>
            <a:graphic>
              <a:graphicData uri="http://schemas.openxmlformats.org/drawingml/2006/picture">
                <pic:pic>
                  <pic:nvPicPr>
                    <pic:cNvPr id="0" name="g1_nenrei.png"/>
                    <pic:cNvPicPr/>
                  </pic:nvPicPr>
                  <pic:blipFill>
                    <a:blip r:embed="rId20"/>
                    <a:stretch>
                      <a:fillRect/>
                    </a:stretch>
                  </pic:blipFill>
                  <pic:spPr>
                    <a:xfrm>
                      <a:off x="0" y="0"/>
                      <a:ext cx="5120640" cy="3018047"/>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65歳以上の方の数はほぼ横ばいですが、75歳以上の方が4年で15.4％増えています。介護が必要になる方が増えるのは、この年代からです。</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2272072"/>
            <wp:docPr id="2" name="Picture 2"/>
            <wp:cNvGraphicFramePr>
              <a:graphicFrameLocks noChangeAspect="1"/>
            </wp:cNvGraphicFramePr>
            <a:graphic>
              <a:graphicData uri="http://schemas.openxmlformats.org/drawingml/2006/picture">
                <pic:pic>
                  <pic:nvPicPr>
                    <pic:cNvPr id="0" name="g2_koreika.png"/>
                    <pic:cNvPicPr/>
                  </pic:nvPicPr>
                  <pic:blipFill>
                    <a:blip r:embed="rId21"/>
                    <a:stretch>
                      <a:fillRect/>
                    </a:stretch>
                  </pic:blipFill>
                  <pic:spPr>
                    <a:xfrm>
                      <a:off x="0" y="0"/>
                      <a:ext cx="5120640" cy="2272072"/>
                    </a:xfrm>
                    <a:prstGeom prst="rect"/>
                  </pic:spPr>
                </pic:pic>
              </a:graphicData>
            </a:graphic>
          </wp:inline>
        </w:drawing>
      </w:r>
    </w:p>
    <w:p>
      <w:pPr>
        <w:spacing w:after="80" w:before="180" w:line="300"/>
      </w:pPr>
      <w:r>
        <w:rPr>
          <w:rFonts w:ascii="游ゴシック" w:cs="游ゴシック" w:eastAsia="游ゴシック" w:hAnsi="游ゴシック"/>
          <w:b w:val="1"/>
          <w:bCs w:val="1"/>
          <w:i w:val="false"/>
          <w:iCs w:val="false"/>
          <w:sz w:val="21"/>
          <w:szCs w:val="21"/>
        </w:rPr>
        <w:t xml:space="preserve">２　介護サービスの利用とお金</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3278067"/>
            <wp:docPr id="3" name="Picture 3"/>
            <wp:cNvGraphicFramePr>
              <a:graphicFrameLocks noChangeAspect="1"/>
            </wp:cNvGraphicFramePr>
            <a:graphic>
              <a:graphicData uri="http://schemas.openxmlformats.org/drawingml/2006/picture">
                <pic:pic>
                  <pic:nvPicPr>
                    <pic:cNvPr id="0" name="g3_jukyusha.png"/>
                    <pic:cNvPicPr/>
                  </pic:nvPicPr>
                  <pic:blipFill>
                    <a:blip r:embed="rId22"/>
                    <a:stretch>
                      <a:fillRect/>
                    </a:stretch>
                  </pic:blipFill>
                  <pic:spPr>
                    <a:xfrm>
                      <a:off x="0" y="0"/>
                      <a:ext cx="5120640" cy="3278067"/>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令和7年度は、ひと月あたり延べ450.0人の方が介護サービスを利用しました。</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3529481"/>
            <wp:docPr id="4" name="Picture 4"/>
            <wp:cNvGraphicFramePr>
              <a:graphicFrameLocks noChangeAspect="1"/>
            </wp:cNvGraphicFramePr>
            <a:graphic>
              <a:graphicData uri="http://schemas.openxmlformats.org/drawingml/2006/picture">
                <pic:pic>
                  <pic:nvPicPr>
                    <pic:cNvPr id="0" name="g4_kyufuhi.png"/>
                    <pic:cNvPicPr/>
                  </pic:nvPicPr>
                  <pic:blipFill>
                    <a:blip r:embed="rId23"/>
                    <a:stretch>
                      <a:fillRect/>
                    </a:stretch>
                  </pic:blipFill>
                  <pic:spPr>
                    <a:xfrm>
                      <a:off x="0" y="0"/>
                      <a:ext cx="5120640" cy="3529481"/>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介護にかかったお金は年間9.98億円です。そのうち約半分（49.4％）は特別養護老人ホームなどの施設サービスです。町外の施設を利用している方も多く、令和8年3月末で24人の方が住所地特例の対象となっています。</w:t>
      </w:r>
    </w:p>
    <w:p>
      <w:pPr>
        <w:spacing w:after="80" w:before="180" w:line="300"/>
      </w:pPr>
      <w:r>
        <w:rPr>
          <w:rFonts w:ascii="游ゴシック" w:cs="游ゴシック" w:eastAsia="游ゴシック" w:hAnsi="游ゴシック"/>
          <w:b w:val="1"/>
          <w:bCs w:val="1"/>
          <w:i w:val="false"/>
          <w:iCs w:val="false"/>
          <w:sz w:val="21"/>
          <w:szCs w:val="21"/>
        </w:rPr>
        <w:t xml:space="preserve">３　第9期（令和6〜8年度）をふりかえって</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2882206"/>
            <wp:docPr id="5" name="Picture 5"/>
            <wp:cNvGraphicFramePr>
              <a:graphicFrameLocks noChangeAspect="1"/>
            </wp:cNvGraphicFramePr>
            <a:graphic>
              <a:graphicData uri="http://schemas.openxmlformats.org/drawingml/2006/picture">
                <pic:pic>
                  <pic:nvPicPr>
                    <pic:cNvPr id="0" name="g5_taihi.png"/>
                    <pic:cNvPicPr/>
                  </pic:nvPicPr>
                  <pic:blipFill>
                    <a:blip r:embed="rId24"/>
                    <a:stretch>
                      <a:fillRect/>
                    </a:stretch>
                  </pic:blipFill>
                  <pic:spPr>
                    <a:xfrm>
                      <a:off x="0" y="0"/>
                      <a:ext cx="5120640" cy="2882206"/>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令和7年度は、計画の10億1,102万円に対し、実際には9億9,822万円でした（98.7％）。全体ではほぼ計画どおりですが、自宅で受けるサービスが計画を8.8％下回る一方、施設のサービスは3.3％上回りました。自宅から施設へという流れが進んでいます。</w:t>
      </w:r>
    </w:p>
    <w:p>
      <w:pPr>
        <w:spacing w:after="80" w:before="50" w:line="320"/>
        <w:ind w:firstLine="200"/>
        <w:jc w:val="left"/>
      </w:pPr>
      <w:r>
        <w:rPr>
          <w:rFonts w:ascii="游ゴシック" w:cs="游ゴシック" w:eastAsia="游ゴシック" w:hAnsi="游ゴシック"/>
          <w:i w:val="false"/>
          <w:iCs w:val="false"/>
          <w:sz w:val="20"/>
          <w:szCs w:val="20"/>
        </w:rPr>
        <w:t xml:space="preserve">第10期の5つの課題　①サービスを提供する体制をどう保つか②自宅で暮らし続けるための支え　③認知症とともに生きるまちづくり④介護する家族の負担　⑤取組の成果をどう確かめるか</w:t>
      </w:r>
    </w:p>
    <w:p>
      <w:pPr>
        <w:spacing w:after="80" w:before="180" w:line="300"/>
      </w:pPr>
      <w:r>
        <w:rPr>
          <w:rFonts w:ascii="游ゴシック" w:cs="游ゴシック" w:eastAsia="游ゴシック" w:hAnsi="游ゴシック"/>
          <w:b w:val="1"/>
          <w:bCs w:val="1"/>
          <w:i w:val="false"/>
          <w:iCs w:val="false"/>
          <w:sz w:val="21"/>
          <w:szCs w:val="21"/>
        </w:rPr>
        <w:t xml:space="preserve">４　第10期で大切にすること</w:t>
      </w:r>
    </w:p>
    <w:p>
      <w:pPr>
        <w:spacing w:after="80" w:before="50" w:line="320"/>
        <w:ind w:firstLine="200"/>
        <w:jc w:val="left"/>
      </w:pPr>
      <w:r>
        <w:rPr>
          <w:rFonts w:ascii="游ゴシック" w:cs="游ゴシック" w:eastAsia="游ゴシック" w:hAnsi="游ゴシック"/>
          <w:i w:val="false"/>
          <w:iCs w:val="false"/>
          <w:sz w:val="20"/>
          <w:szCs w:val="20"/>
        </w:rPr>
        <w:t xml:space="preserve">基本理念は第9期から引き継ぎます。そのうえで、7つの柱に沿って施策を進め、4つのことを重点として取り組みます。</w:t>
      </w:r>
    </w:p>
    <w:p>
      <w:pPr>
        <w:spacing w:after="80" w:before="50" w:line="320"/>
        <w:ind w:firstLine="200"/>
        <w:jc w:val="left"/>
      </w:pPr>
      <w:r>
        <w:rPr>
          <w:rFonts w:ascii="游ゴシック" w:cs="游ゴシック" w:eastAsia="游ゴシック" w:hAnsi="游ゴシック"/>
          <w:i w:val="false"/>
          <w:iCs w:val="false"/>
          <w:sz w:val="20"/>
          <w:szCs w:val="20"/>
        </w:rPr>
        <w:t xml:space="preserve">重点① サービスを提供する体制の維持　重点② 認知症施策の推進（認知症基本法への対応）　重点③ 介護する家族への支援　重点④ 取組と成果を結びつける仕組み</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2944037"/>
            <wp:docPr id="6" name="Picture 6"/>
            <wp:cNvGraphicFramePr>
              <a:graphicFrameLocks noChangeAspect="1"/>
            </wp:cNvGraphicFramePr>
            <a:graphic>
              <a:graphicData uri="http://schemas.openxmlformats.org/drawingml/2006/picture">
                <pic:pic>
                  <pic:nvPicPr>
                    <pic:cNvPr id="0" name="g8_hashira.png"/>
                    <pic:cNvPicPr/>
                  </pic:nvPicPr>
                  <pic:blipFill>
                    <a:blip r:embed="rId25"/>
                    <a:stretch>
                      <a:fillRect/>
                    </a:stretch>
                  </pic:blipFill>
                  <pic:spPr>
                    <a:xfrm>
                      <a:off x="0" y="0"/>
                      <a:ext cx="5120640" cy="2944037"/>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柱1は健康づくりと介護予防、柱2は住まい・防災・防犯、柱3は移動の手段・見守り・社会参加と介護する家族への支援、柱4は介護予防・日常生活支援総合事業と地域包括支援センター、柱5は認知症の取組、柱6は介護サービス、柱7は計画の進め方と介護人材の確保です。</w:t>
      </w:r>
    </w:p>
    <w:p>
      <w:pPr>
        <w:spacing w:after="80" w:before="50" w:line="320"/>
        <w:ind w:firstLine="200"/>
        <w:jc w:val="left"/>
      </w:pPr>
      <w:r>
        <w:rPr>
          <w:rFonts w:ascii="游ゴシック" w:cs="游ゴシック" w:eastAsia="游ゴシック" w:hAnsi="游ゴシック"/>
          <w:i w:val="false"/>
          <w:iCs w:val="false"/>
          <w:sz w:val="20"/>
          <w:szCs w:val="20"/>
        </w:rPr>
        <w:t xml:space="preserve">とくに、町内の介護事業所が小さくなっていることへの備えを新しい重点に加えました。ホームヘルパーの数が減っており、いま受けられているサービスを3年後も受けられるようにすることが、この計画のいちばんの課題です。</w:t>
      </w:r>
    </w:p>
    <w:p>
      <w:pPr>
        <w:spacing w:after="80" w:before="180" w:line="300"/>
      </w:pPr>
      <w:r>
        <w:rPr>
          <w:rFonts w:ascii="游ゴシック" w:cs="游ゴシック" w:eastAsia="游ゴシック" w:hAnsi="游ゴシック"/>
          <w:b w:val="1"/>
          <w:bCs w:val="1"/>
          <w:i w:val="false"/>
          <w:iCs w:val="false"/>
          <w:sz w:val="21"/>
          <w:szCs w:val="21"/>
        </w:rPr>
        <w:t xml:space="preserve">５　認知症とともに生きるまちへ</w:t>
      </w:r>
    </w:p>
    <w:p>
      <w:pPr>
        <w:spacing w:after="80" w:before="50" w:line="320"/>
        <w:ind w:firstLine="200"/>
        <w:jc w:val="left"/>
      </w:pPr>
      <w:r>
        <w:rPr>
          <w:rFonts w:ascii="游ゴシック" w:cs="游ゴシック" w:eastAsia="游ゴシック" w:hAnsi="游ゴシック"/>
          <w:i w:val="false"/>
          <w:iCs w:val="false"/>
          <w:sz w:val="20"/>
          <w:szCs w:val="20"/>
        </w:rPr>
        <w:t xml:space="preserve">令和6年に認知症基本法が施行されました。この法律は、認知症になってからも希望をもって自分らしく暮らすことができる社会をめざしています。川崎町は第10期から、認知症の取組をこの計画の中に位置づけます。</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2739930"/>
            <wp:docPr id="7" name="Picture 7"/>
            <wp:cNvGraphicFramePr>
              <a:graphicFrameLocks noChangeAspect="1"/>
            </wp:cNvGraphicFramePr>
            <a:graphic>
              <a:graphicData uri="http://schemas.openxmlformats.org/drawingml/2006/picture">
                <pic:pic>
                  <pic:nvPicPr>
                    <pic:cNvPr id="0" name="g6_kpi.png"/>
                    <pic:cNvPicPr/>
                  </pic:nvPicPr>
                  <pic:blipFill>
                    <a:blip r:embed="rId26"/>
                    <a:stretch>
                      <a:fillRect/>
                    </a:stretch>
                  </pic:blipFill>
                  <pic:spPr>
                    <a:xfrm>
                      <a:off x="0" y="0"/>
                      <a:ext cx="5120640" cy="2739930"/>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認知症の本人とご家族からお話をうかがったうえで計画をつくります（令和8年10月から11月に実施します）。認知症カフェ「喫茶みかん」（年47回）、認知症サポーターの養成、チームオレンジの活動、認知症初期集中支援チームによる訪問を続けます。第10期からは、認知症の本人が集まって語り合う「本人ミーティング」を新しく始めます。</w:t>
      </w:r>
    </w:p>
    <w:p>
      <w:pPr>
        <w:spacing w:after="80" w:before="50" w:line="320"/>
        <w:ind w:firstLine="200"/>
        <w:jc w:val="left"/>
      </w:pPr>
      <w:r>
        <w:rPr>
          <w:rFonts w:ascii="游ゴシック" w:cs="游ゴシック" w:eastAsia="游ゴシック" w:hAnsi="游ゴシック"/>
          <w:i w:val="false"/>
          <w:iCs w:val="false"/>
          <w:sz w:val="20"/>
          <w:szCs w:val="20"/>
        </w:rPr>
        <w:t xml:space="preserve">もの忘れが気になったら　川崎町地域包括支援センター（保健福祉課内）にご相談ください。もの忘れ相談を毎月開いています。</w:t>
      </w:r>
    </w:p>
    <w:p>
      <w:pPr>
        <w:spacing w:after="80" w:before="180" w:line="300"/>
      </w:pPr>
      <w:r>
        <w:rPr>
          <w:rFonts w:ascii="游ゴシック" w:cs="游ゴシック" w:eastAsia="游ゴシック" w:hAnsi="游ゴシック"/>
          <w:b w:val="1"/>
          <w:bCs w:val="1"/>
          <w:i w:val="false"/>
          <w:iCs w:val="false"/>
          <w:sz w:val="21"/>
          <w:szCs w:val="21"/>
        </w:rPr>
        <w:t xml:space="preserve">６　介護保険料</w:t>
      </w:r>
    </w:p>
    <w:p>
      <w:pPr>
        <w:spacing w:after="80" w:before="50" w:line="320"/>
        <w:ind w:firstLine="200"/>
        <w:jc w:val="left"/>
      </w:pPr>
      <w:r>
        <w:rPr>
          <w:rFonts w:ascii="游ゴシック" w:cs="游ゴシック" w:eastAsia="游ゴシック" w:hAnsi="游ゴシック"/>
          <w:i w:val="false"/>
          <w:iCs w:val="false"/>
          <w:sz w:val="20"/>
          <w:szCs w:val="20"/>
        </w:rPr>
        <w:t xml:space="preserve">介護保険料は、3年間に必要な介護サービスのお金から、国・県・町が出す分と、40歳から64歳の方が出す分を差し引いて、65歳以上の方で分け合って決めます。これまでにためてきた基金（準備基金）を取りくずすと、保険料を抑えることができます。</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3064274"/>
            <wp:docPr id="8" name="Picture 8"/>
            <wp:cNvGraphicFramePr>
              <a:graphicFrameLocks noChangeAspect="1"/>
            </wp:cNvGraphicFramePr>
            <a:graphic>
              <a:graphicData uri="http://schemas.openxmlformats.org/drawingml/2006/picture">
                <pic:pic>
                  <pic:nvPicPr>
                    <pic:cNvPr id="0" name="g7_hokenryo.png"/>
                    <pic:cNvPicPr/>
                  </pic:nvPicPr>
                  <pic:blipFill>
                    <a:blip r:embed="rId27"/>
                    <a:stretch>
                      <a:fillRect/>
                    </a:stretch>
                  </pic:blipFill>
                  <pic:spPr>
                    <a:xfrm>
                      <a:off x="0" y="0"/>
                      <a:ext cx="5120640" cy="3064274"/>
                    </a:xfrm>
                    <a:prstGeom prst="rect"/>
                  </pic:spPr>
                </pic:pic>
              </a:graphicData>
            </a:graphic>
          </wp:inline>
        </w:drawing>
      </w:r>
    </w:p>
    <w:p>
      <w:pPr>
        <w:spacing w:after="80" w:before="50" w:line="320"/>
        <w:ind w:firstLine="200"/>
        <w:jc w:val="left"/>
      </w:pPr>
      <w:r>
        <w:rPr>
          <w:rFonts w:ascii="游ゴシック" w:cs="游ゴシック" w:eastAsia="游ゴシック" w:hAnsi="游ゴシック"/>
          <w:i w:val="false"/>
          <w:iCs w:val="false"/>
          <w:sz w:val="20"/>
          <w:szCs w:val="20"/>
        </w:rPr>
        <w:t xml:space="preserve">第9期の月額6,500円に対して、3つの案があります。基金を取りくずさないと6,822円、半分を取りくずすと6,143円、全額を取りくずすと5,464円です。基金を使えばいまの保険料は下がりますが、次の第11期に使える分がなくなります。</w:t>
      </w:r>
    </w:p>
    <w:p>
      <w:pPr>
        <w:spacing w:after="80" w:before="50" w:line="320"/>
        <w:ind w:firstLine="200"/>
        <w:jc w:val="left"/>
      </w:pPr>
      <w:r>
        <w:rPr>
          <w:rFonts w:ascii="游ゴシック" w:cs="游ゴシック" w:eastAsia="游ゴシック" w:hAnsi="游ゴシック"/>
          <w:i w:val="false"/>
          <w:iCs w:val="false"/>
          <w:sz w:val="20"/>
          <w:szCs w:val="20"/>
        </w:rPr>
        <w:t xml:space="preserve">⚠ 保険料の額は令和9年1月の策定委員会で決めます。上の金額は令和8年9月時点の試算であり、まだ確定していません。保険料は、所得に応じて13の段階に分かれます。</w:t>
      </w:r>
    </w:p>
    <w:p>
      <w:pPr>
        <w:spacing w:after="80" w:before="180" w:line="300"/>
      </w:pPr>
      <w:r>
        <w:rPr>
          <w:rFonts w:ascii="游ゴシック" w:cs="游ゴシック" w:eastAsia="游ゴシック" w:hAnsi="游ゴシック"/>
          <w:b w:val="1"/>
          <w:bCs w:val="1"/>
          <w:i w:val="false"/>
          <w:iCs w:val="false"/>
          <w:sz w:val="21"/>
          <w:szCs w:val="21"/>
        </w:rPr>
        <w:t xml:space="preserve">７　計画の進め方とご相談先</w:t>
      </w:r>
    </w:p>
    <w:p>
      <w:pPr>
        <w:spacing w:after="80" w:before="50" w:line="320"/>
        <w:ind w:firstLine="200"/>
        <w:jc w:val="left"/>
      </w:pPr>
      <w:r>
        <w:rPr>
          <w:rFonts w:ascii="游ゴシック" w:cs="游ゴシック" w:eastAsia="游ゴシック" w:hAnsi="游ゴシック"/>
          <w:i w:val="false"/>
          <w:iCs w:val="false"/>
          <w:sz w:val="20"/>
          <w:szCs w:val="20"/>
        </w:rPr>
        <w:t xml:space="preserve">計画は、毎年度その進み具合をたしかめ、結果を町のホームページで公表します。計画に定めた目安（KPI）がどこまで達成できたかを、策定委員会にご報告します。</w:t>
      </w:r>
    </w:p>
    <w:p>
      <w:pPr>
        <w:spacing w:after="80" w:before="50" w:line="320"/>
        <w:ind w:firstLine="200"/>
        <w:jc w:val="left"/>
      </w:pPr>
      <w:r>
        <w:rPr>
          <w:rFonts w:ascii="游ゴシック" w:cs="游ゴシック" w:eastAsia="游ゴシック" w:hAnsi="游ゴシック"/>
          <w:i w:val="false"/>
          <w:iCs w:val="false"/>
          <w:sz w:val="20"/>
          <w:szCs w:val="20"/>
        </w:rPr>
        <w:t xml:space="preserve">ご相談は　川崎町保健福祉課／川崎町地域包括支援センター　までお願いします。介護予防の教室や通いの場のご案内もしています。</w:t>
      </w:r>
    </w:p>
    <w:p>
      <w:pPr>
        <w:spacing w:after="80" w:before="50" w:line="320"/>
        <w:ind w:firstLine="200"/>
        <w:jc w:val="left"/>
      </w:pPr>
      <w:r>
        <w:rPr>
          <w:rFonts w:ascii="游ゴシック" w:cs="游ゴシック" w:eastAsia="游ゴシック" w:hAnsi="游ゴシック"/>
          <w:i w:val="false"/>
          <w:iCs w:val="false"/>
          <w:sz w:val="20"/>
          <w:szCs w:val="20"/>
        </w:rPr>
        <w:t xml:space="preserve">この計画の案については、意見を募る手続（パブリックコメント）を行います。実施の時期は町の広報紙とホームページでお知らせします。みなさまのご意見をお寄せください。</w:t>
      </w:r>
    </w:p>
    <w:p>
      <w:pPr>
        <w:spacing w:after="80" w:before="180" w:line="300"/>
      </w:pPr>
      <w:r>
        <w:rPr>
          <w:rFonts w:ascii="游ゴシック" w:cs="游ゴシック" w:eastAsia="游ゴシック" w:hAnsi="游ゴシック"/>
          <w:b w:val="1"/>
          <w:bCs w:val="1"/>
          <w:i w:val="false"/>
          <w:iCs w:val="false"/>
          <w:sz w:val="21"/>
          <w:szCs w:val="21"/>
        </w:rPr>
        <w:t xml:space="preserve">８　この冊子に出てくることば</w:t>
      </w:r>
    </w:p>
    <w:p>
      <w:pPr>
        <w:spacing w:after="80" w:before="50" w:line="320"/>
        <w:ind w:firstLine="200"/>
        <w:jc w:val="left"/>
      </w:pPr>
      <w:r>
        <w:rPr>
          <w:rFonts w:ascii="游ゴシック" w:cs="游ゴシック" w:eastAsia="游ゴシック" w:hAnsi="游ゴシック"/>
          <w:i w:val="false"/>
          <w:iCs w:val="false"/>
          <w:sz w:val="20"/>
          <w:szCs w:val="20"/>
        </w:rPr>
        <w:t xml:space="preserve">要介護認定　介護が必要な状態かどうか、どの程度かを定める手続です。全国共通の基準により、要支援1・2と要介護1〜5の7つに分かれます。</w:t>
      </w:r>
    </w:p>
    <w:p>
      <w:pPr>
        <w:spacing w:after="80" w:before="50" w:line="320"/>
        <w:ind w:firstLine="200"/>
        <w:jc w:val="left"/>
      </w:pPr>
      <w:r>
        <w:rPr>
          <w:rFonts w:ascii="游ゴシック" w:cs="游ゴシック" w:eastAsia="游ゴシック" w:hAnsi="游ゴシック"/>
          <w:i w:val="false"/>
          <w:iCs w:val="false"/>
          <w:sz w:val="20"/>
          <w:szCs w:val="20"/>
        </w:rPr>
        <w:t xml:space="preserve">地域包括支援センター　高齢者の相談窓口です。保健師・社会福祉士などが、介護・福祉・権利を守ることについて相談に応じます。</w:t>
      </w:r>
    </w:p>
    <w:p>
      <w:pPr>
        <w:spacing w:after="80" w:before="50" w:line="320"/>
        <w:ind w:firstLine="200"/>
        <w:jc w:val="left"/>
      </w:pPr>
      <w:r>
        <w:rPr>
          <w:rFonts w:ascii="游ゴシック" w:cs="游ゴシック" w:eastAsia="游ゴシック" w:hAnsi="游ゴシック"/>
          <w:i w:val="false"/>
          <w:iCs w:val="false"/>
          <w:sz w:val="20"/>
          <w:szCs w:val="20"/>
        </w:rPr>
        <w:t xml:space="preserve">日常生活圏域　サービスを考えるうえでの区域です。川崎町は町全体を1つの区域とし、7つの地区ごとに状況を把握します。</w:t>
      </w:r>
    </w:p>
    <w:p>
      <w:pPr>
        <w:spacing w:after="80" w:before="50" w:line="320"/>
        <w:ind w:firstLine="200"/>
        <w:jc w:val="left"/>
      </w:pPr>
      <w:r>
        <w:rPr>
          <w:rFonts w:ascii="游ゴシック" w:cs="游ゴシック" w:eastAsia="游ゴシック" w:hAnsi="游ゴシック"/>
          <w:i w:val="false"/>
          <w:iCs w:val="false"/>
          <w:sz w:val="20"/>
          <w:szCs w:val="20"/>
        </w:rPr>
        <w:t xml:space="preserve">住所地特例　施設に入るために他の市町村へ住所を移した方について、移る前の市町村が引き続き保険者となる仕組みです。</w:t>
      </w:r>
    </w:p>
    <w:p>
      <w:pPr>
        <w:spacing w:after="80" w:before="50" w:line="320"/>
        <w:ind w:firstLine="200"/>
        <w:jc w:val="left"/>
      </w:pPr>
      <w:r>
        <w:rPr>
          <w:rFonts w:ascii="游ゴシック" w:cs="游ゴシック" w:eastAsia="游ゴシック" w:hAnsi="游ゴシック"/>
          <w:i w:val="false"/>
          <w:iCs w:val="false"/>
          <w:sz w:val="20"/>
          <w:szCs w:val="20"/>
        </w:rPr>
        <w:t xml:space="preserve">介護給付費準備基金　保険料の余りをためておき、次の3年間の保険料の上がり方をやわらげるために使うお金です。</w:t>
      </w:r>
    </w:p>
    <w:p>
      <w:pPr>
        <w:spacing w:after="80" w:before="50" w:line="320"/>
        <w:ind w:firstLine="200"/>
        <w:jc w:val="left"/>
      </w:pPr>
      <w:r>
        <w:rPr>
          <w:rFonts w:ascii="游ゴシック" w:cs="游ゴシック" w:eastAsia="游ゴシック" w:hAnsi="游ゴシック"/>
          <w:i w:val="false"/>
          <w:iCs w:val="false"/>
          <w:sz w:val="20"/>
          <w:szCs w:val="20"/>
        </w:rPr>
        <w:t xml:space="preserve">認知症サポーター　認知症について正しく理解し、認知症の人とご家族を見守る応援者です。養成講座を受けた方で、川崎町では累計642名を養成しています。</w:t>
      </w:r>
    </w:p>
    <w:p>
      <w:pPr>
        <w:spacing w:after="80" w:before="50" w:line="320"/>
        <w:ind w:firstLine="200"/>
        <w:jc w:val="left"/>
      </w:pPr>
      <w:r>
        <w:rPr>
          <w:rFonts w:ascii="游ゴシック" w:cs="游ゴシック" w:eastAsia="游ゴシック" w:hAnsi="游ゴシック"/>
          <w:i w:val="false"/>
          <w:iCs w:val="false"/>
          <w:sz w:val="20"/>
          <w:szCs w:val="20"/>
        </w:rPr>
        <w:t xml:space="preserve">チームオレンジ　認知症サポーターが、認知症の人やご家族の身近な支援につながるよう結成するチームです。川崎町は令和6年度に整備しました。</w:t>
      </w:r>
    </w:p>
    <w:p>
      <w:pPr>
        <w:spacing w:after="80" w:before="50" w:line="320"/>
        <w:ind w:firstLine="200"/>
        <w:jc w:val="left"/>
      </w:pPr>
      <w:r>
        <w:rPr>
          <w:rFonts w:ascii="游ゴシック" w:cs="游ゴシック" w:eastAsia="游ゴシック" w:hAnsi="游ゴシック"/>
          <w:i w:val="false"/>
          <w:iCs w:val="false"/>
          <w:sz w:val="20"/>
          <w:szCs w:val="20"/>
        </w:rPr>
        <w:t xml:space="preserve">通いの場　住民が主体となって運営する、体操や交流などの集まりです。</w:t>
      </w:r>
    </w:p>
    <w:p>
      <w:pPr>
        <w:spacing w:after="80" w:before="50" w:line="320"/>
        <w:ind w:firstLine="200"/>
        <w:jc w:val="left"/>
      </w:pPr>
      <w:r>
        <w:rPr>
          <w:rFonts w:ascii="游ゴシック" w:cs="游ゴシック" w:eastAsia="游ゴシック" w:hAnsi="游ゴシック"/>
          <w:i w:val="false"/>
          <w:iCs w:val="false"/>
          <w:sz w:val="20"/>
          <w:szCs w:val="20"/>
        </w:rPr>
        <w:t xml:space="preserve">［発行］川崎町保健福祉課</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6"/>
        <w:szCs w:val="16"/>
      </w:rPr>
      <w:t xml:space="preserve">─ </w:t>
    </w:r>
    <w:r>
      <w:rPr>
        <w:rFonts w:ascii="游ゴシック" w:cs="游ゴシック" w:eastAsia="游ゴシック" w:hAnsi="游ゴシック"/>
        <w:color w:val="595959"/>
        <w:sz w:val="16"/>
        <w:szCs w:val="16"/>
      </w:rPr>
      <w:fldChar w:fldCharType="begin"/>
      <w:instrText xml:space="preserve">PAGE</w:instrText>
      <w:fldChar w:fldCharType="separate"/>
      <w:fldChar w:fldCharType="end"/>
    </w:r>
    <w:r>
      <w:rPr>
        <w:rFonts w:ascii="游ゴシック" w:cs="游ゴシック" w:eastAsia="游ゴシック" w:hAnsi="游ゴシック"/>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595959"/>
        <w:sz w:val="16"/>
        <w:szCs w:val="16"/>
      </w:rPr>
      <w:t xml:space="preserve">川崎町高齢者保健福祉計画・第10期介護保険事業計画　計画書素案 Ver.2.9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pPr>
        <w:spacing w:after="120" w:line="276" w:lineRule="auto"/>
      </w:pPr>
    </w:pPrDefault>
  </w:docDefaults>
  <w:style xmlns:w="http://schemas.openxmlformats.org/wordprocessingml/2006/main" w:type="paragraph" w:default="1" w:styleId="Normal">
    <w:name w:val="Normal"/>
    <w:qFormat/>
    <w:pPr>
      <w:widowControl w:val="0"/>
      <w:jc w:val="both"/>
    </w:pPr>
    <w:rPr>
      <w:rFonts w:ascii="游ゴシック" w:hAnsi="游ゴシック" w:eastAsia="游ゴシック" w:cs="游ゴシック"/>
      <w:sz w:val="21"/>
      <w:szCs w:val="21"/>
    </w:rPr>
  </w:style>
  <w:style w:type="paragraph" w:styleId="Title">
    <w:name w:val="Title"/>
    <w:basedOn w:val="Normal"/>
    <w:next w:val="Normal"/>
    <w:qFormat/>
    <w:rPr>
      <w:rFonts w:ascii="游ゴシック" w:hAnsi="游ゴシック" w:eastAsia="游ゴシック" w:cs="游ゴシック"/>
      <w:sz w:val="56"/>
      <w:szCs w:val="56"/>
    </w:rPr>
  </w:style>
  <w:style w:type="paragraph" w:styleId="Heading1">
    <w:name w:val="Heading 1"/>
    <w:basedOn w:val="Normal"/>
    <w:next w:val="Normal"/>
    <w:qFormat/>
    <w:rPr>
      <w:b/>
      <w:bCs/>
      <w:rFonts w:ascii="游ゴシック" w:hAnsi="游ゴシック" w:eastAsia="游ゴシック" w:cs="游ゴシック"/>
      <w:color w:val="365F91"/>
      <w:sz w:val="28"/>
      <w:szCs w:val="28"/>
    </w:rPr>
  </w:style>
  <w:style w:type="paragraph" w:styleId="Heading2">
    <w:name w:val="Heading 2"/>
    <w:basedOn w:val="Normal"/>
    <w:next w:val="Normal"/>
    <w:qFormat/>
    <w:rPr>
      <w:b/>
      <w:bCs/>
      <w:rFonts w:ascii="游ゴシック" w:hAnsi="游ゴシック" w:eastAsia="游ゴシック" w:cs="游ゴシック"/>
      <w:color w:val="4F81BD"/>
      <w:sz w:val="26"/>
      <w:szCs w:val="26"/>
    </w:rPr>
  </w:style>
  <w:style w:type="paragraph" w:styleId="Heading3">
    <w:name w:val="Heading 3"/>
    <w:basedOn w:val="Normal"/>
    <w:next w:val="Normal"/>
    <w:qFormat/>
    <w:rPr>
      <w:b/>
      <w:bCs/>
      <w:rFonts w:ascii="游ゴシック" w:hAnsi="游ゴシック" w:eastAsia="游ゴシック" w:cs="游ゴシック"/>
      <w:color w:val="4F81BD"/>
      <w:sz w:val="21"/>
      <w:szCs w:val="21"/>
    </w:rPr>
  </w:style>
  <w:style w:type="paragraph" w:styleId="Heading4">
    <w:name w:val="Heading 4"/>
    <w:basedOn w:val="Normal"/>
    <w:next w:val="Normal"/>
    <w:qFormat/>
    <w:rPr>
      <w:b/>
      <w:bCs/>
      <w:rFonts w:ascii="游ゴシック" w:hAnsi="游ゴシック" w:eastAsia="游ゴシック" w:cs="游ゴシック"/>
      <w:i/>
      <w:iCs/>
      <w:color w:val="2E74B5"/>
      <w:sz w:val="21"/>
      <w:szCs w:val="21"/>
    </w:rPr>
  </w:style>
  <w:style w:type="paragraph" w:styleId="Heading5">
    <w:name w:val="Heading 5"/>
    <w:basedOn w:val="Normal"/>
    <w:next w:val="Normal"/>
    <w:qFormat/>
    <w:rPr>
      <w:b/>
      <w:bCs/>
      <w:rFonts w:ascii="游ゴシック" w:hAnsi="游ゴシック" w:eastAsia="游ゴシック" w:cs="游ゴシック"/>
      <w:color w:val="2E74B5"/>
      <w:sz w:val="21"/>
      <w:szCs w:val="21"/>
    </w:rPr>
  </w:style>
  <w:style w:type="paragraph" w:styleId="Heading6">
    <w:name w:val="Heading 6"/>
    <w:basedOn w:val="Normal"/>
    <w:next w:val="Normal"/>
    <w:qFormat/>
    <w:rPr>
      <w:b/>
      <w:bCs/>
      <w:rFonts w:ascii="游ゴシック" w:hAnsi="游ゴシック" w:eastAsia="游ゴシック" w:cs="游ゴシック"/>
      <w:color w:val="1F4D78"/>
      <w:sz w:val="21"/>
      <w:szCs w:val="21"/>
    </w:rPr>
  </w:style>
  <w:style w:type="paragraph" w:styleId="Strong">
    <w:name w:val="Strong"/>
    <w:basedOn w:val="Normal"/>
    <w:next w:val="Normal"/>
    <w:qFormat/>
    <w:rPr>
      <w:rFonts w:ascii="游ゴシック" w:hAnsi="游ゴシック" w:eastAsia="游ゴシック" w:cs="游ゴシック"/>
      <w:b/>
      <w:bCs/>
    </w:rPr>
  </w:style>
  <w:style w:type="paragraph" w:styleId="ListParagraph">
    <w:name w:val="List Paragraph"/>
    <w:basedOn w:val="Normal"/>
    <w:qFormat/>
    <w:rPr>
      <w:rFonts w:ascii="游ゴシック" w:hAnsi="游ゴシック" w:eastAsia="游ゴシック" w:cs="游ゴシック"/>
    </w:rPr>
  </w:style>
  <w:style w:type="character" w:styleId="Hyperlink">
    <w:name w:val="Hyperlink"/>
    <w:basedOn w:val="DefaultParagraphFont"/>
    <w:uiPriority w:val="99"/>
    <w:unhideWhenUsed/>
    <w:rPr>
      <w:rFonts w:ascii="游ゴシック" w:hAnsi="游ゴシック" w:eastAsia="游ゴシック" w:cs="游ゴシック"/>
      <w:color w:val="0563C1"/>
      <w:u w:val="single"/>
    </w:rPr>
  </w:style>
  <w:style w:type="character" w:styleId="FootnoteReference">
    <w:name w:val="footnote reference"/>
    <w:basedOn w:val="DefaultParagraphFont"/>
    <w:uiPriority w:val="99"/>
    <w:semiHidden/>
    <w:unhideWhenUsed/>
    <w:rPr>
      <w:rFonts w:ascii="游ゴシック" w:hAnsi="游ゴシック" w:eastAsia="游ゴシック" w:cs="游ゴシック"/>
      <w:vertAlign w:val="superscript"/>
    </w:rPr>
  </w:style>
  <w:style w:type="paragraph" w:styleId="FootnoteText">
    <w:name w:val="footnote text"/>
    <w:basedOn w:val="Normal"/>
    <w:link w:val="FootnoteTextChar"/>
    <w:uiPriority w:val="99"/>
    <w:semiHidden/>
    <w:unhideWhenUsed/>
    <w:pPr>
      <w:spacing w:after="0" w:line="240" w:lineRule="auto"/>
    </w:pPr>
    <w:rPr>
      <w:rFonts w:ascii="游ゴシック" w:hAnsi="游ゴシック" w:eastAsia="游ゴシック" w:cs="游ゴシック"/>
      <w:sz w:val="20"/>
      <w:szCs w:val="20"/>
    </w:rPr>
  </w:style>
  <w:style w:type="character" w:styleId="FootnoteTextChar">
    <w:name w:val="Footnote Text Char"/>
    <w:basedOn w:val="DefaultParagraphFont"/>
    <w:link w:val="FootnoteText"/>
    <w:uiPriority w:val="99"/>
    <w:semiHidden/>
    <w:unhideWhenUsed/>
    <w:rPr>
      <w:rFonts w:ascii="游ゴシック" w:hAnsi="游ゴシック" w:eastAsia="游ゴシック" w:cs="游ゴシック"/>
      <w:sz w:val="20"/>
      <w:szCs w:val="20"/>
    </w:rPr>
  </w:style>
  <w:style w:type="character" w:styleId="EndnoteReference">
    <w:name w:val="endnote reference"/>
    <w:basedOn w:val="DefaultParagraphFont"/>
    <w:uiPriority w:val="99"/>
    <w:semiHidden/>
    <w:unhideWhenUsed/>
    <w:rPr>
      <w:rFonts w:ascii="游ゴシック" w:hAnsi="游ゴシック" w:eastAsia="游ゴシック" w:cs="游ゴシック"/>
      <w:vertAlign w:val="superscript"/>
    </w:rPr>
  </w:style>
  <w:style w:type="paragraph" w:styleId="EndnoteText">
    <w:name w:val="endnote text"/>
    <w:basedOn w:val="Normal"/>
    <w:link w:val="EndnoteTextChar"/>
    <w:uiPriority w:val="99"/>
    <w:semiHidden/>
    <w:unhideWhenUsed/>
    <w:pPr>
      <w:spacing w:after="0" w:line="240" w:lineRule="auto"/>
    </w:pPr>
    <w:rPr>
      <w:rFonts w:ascii="游ゴシック" w:hAnsi="游ゴシック" w:eastAsia="游ゴシック" w:cs="游ゴシック"/>
      <w:sz w:val="20"/>
      <w:szCs w:val="20"/>
    </w:rPr>
  </w:style>
  <w:style w:type="character" w:styleId="EndnoteTextChar">
    <w:name w:val="Endnote Text Char"/>
    <w:basedOn w:val="DefaultParagraphFont"/>
    <w:link w:val="EndnoteText"/>
    <w:uiPriority w:val="99"/>
    <w:semiHidden/>
    <w:unhideWhenUsed/>
    <w:rPr>
      <w:rFonts w:ascii="游ゴシック" w:hAnsi="游ゴシック" w:eastAsia="游ゴシック" w:cs="游ゴシック"/>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5" Type="http://schemas.openxmlformats.org/officeDocument/2006/relationships/fontTable" Target="fontTable.xml"/><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川崎町第10期介護保険事業計画 計画書素案v1.0</dc:title>
  <dc:creator>ビズアップ公共コンサルティング株式会社</dc:creator>
  <dc:description>川崎町高齢者保健福祉計画・第10期介護保険事業計画 計画書素案</dc:description>
  <cp:lastModifiedBy>Un-named</cp:lastModifiedBy>
  <cp:revision>1</cp:revision>
  <dcterms:created xsi:type="dcterms:W3CDTF">2026-06-29T06:49:34.837Z</dcterms:created>
  <dcterms:modified xsi:type="dcterms:W3CDTF">2026-06-29T06:49:34.837Z</dcterms:modified>
</cp:coreProperties>
</file>

<file path=docProps/custom.xml><?xml version="1.0" encoding="utf-8"?>
<Properties xmlns="http://schemas.openxmlformats.org/officeDocument/2006/custom-properties" xmlns:vt="http://schemas.openxmlformats.org/officeDocument/2006/docPropsVTypes"/>
</file>