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［第５版］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計画骨子（案）と今後の予定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また、町内及び近隣市町村にこれらの指定事業所が存在するかを確認できておりません【町確認】。存在しない場合、利用が０件であることは供給側の事実であり、ケアプラン点検や利用勧奨では対応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1,304円分に相当します（取崩しなし6,822円と全額取崩し5,518円の差）。</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5,518円（▲15.1％）</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982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第９期と同じ考え方で、基金の約半分を取り崩す（月額6,170円・第９期比▲330円）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5,518円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6,170円を基準）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＋273円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1,304円の差があります。次いで第１号被保険者負担割合（24％で＋309円）と調整交付金の見込交付割合（5.0％で＋273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令和８年度の失点272点のうち、体制・取組指標群の失点は27点にとどまります。その27点は次の３か所だけであり、いずれも新たな事業も予算も要さず、仕組みを定めて本計画に書くことで得点できます。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すれば得点でき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がそのまま要件となりま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選択１のご判断を受けた施策体系の確定（統合体系表は作成済み。計画書の第５章から第８章への書き下ろしを行う）</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計画書（案）の作成。町確認データによる保険料の確定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第４回：計画書（案）・概要版（案）の確定（仕様書上の３回には含まれない任意開催。実施の可否は町とご相談します）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計画書・概要版の印刷・製本・納品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委託仕様書上、策定委員会は３回構成であり、第３回で答申の内容を確定します。上表の第４回は、パブリックコメントの結果を反映した計画書（案）をご確認いただくための任意開催で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訂正事項５件のご確認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