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keepNext/>
              <w:spacing w:before="20" w:after="20"/>
            </w:pPr>
            <w:r>
              <w:rPr>
                <w:rFonts w:ascii="游ゴシック" w:hAnsi="游ゴシック" w:eastAsia="游ゴシック"/>
                <w:b/>
                <w:i w:val="0"/>
                <w:sz w:val="17"/>
              </w:rPr>
              <w:t>本版（第11版・令和8年10月15日）の変更</w:t>
            </w:r>
          </w:p>
        </w:tc>
        <w:tc>
          <w:tcPr>
            <w:tcW w:type="dxa" w:w="8020"/>
            <w:vAlign w:val="center"/>
          </w:tcPr>
          <w:p>
            <w:pPr>
              <w:keepNext/>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①第6章10を介護保険法第117条第2項第3号に基づくものとして位置づけ、地域支援事業の量の中長期的な推計を加えた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②第6章11を同条第2項第4号に基づくものとして位置づけ、地域支援事業の実施の面を加えて6つとした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本素案には確定していない箇所が152あります。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6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町からのデータ受領を待っているのは78箇所（51.3％）で、最も多いのは協議会で設定する成果指標の目標値55箇所（36.2％）です。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36.2％</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78</w:t>
            </w:r>
          </w:p>
        </w:tc>
        <w:tc>
          <w:tcPr>
            <w:tcW w:type="dxa" w:w="1314"/>
            <w:vAlign w:val="center"/>
          </w:tcPr>
          <w:p>
            <w:pPr>
              <w:spacing w:before="20" w:after="20"/>
            </w:pPr>
            <w:r>
              <w:rPr>
                <w:rFonts w:ascii="游ゴシック" w:hAnsi="游ゴシック" w:eastAsia="游ゴシック"/>
                <w:b/>
                <w:i w:val="0"/>
                <w:sz w:val="17"/>
              </w:rPr>
              <w:t>51.3％</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8.6％</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3.9％</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keepNext/>
              <w:spacing w:before="20" w:after="20"/>
            </w:pPr>
            <w:r>
              <w:rPr>
                <w:rFonts w:ascii="游ゴシック" w:hAnsi="游ゴシック" w:eastAsia="游ゴシック"/>
                <w:b/>
                <w:i w:val="0"/>
                <w:sz w:val="17"/>
              </w:rPr>
              <w:t>第6章　介護保険事業等の見込み</w:t>
            </w:r>
          </w:p>
        </w:tc>
        <w:tc>
          <w:tcPr>
            <w:tcW w:type="dxa" w:w="740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keepNext/>
              <w:spacing w:before="20" w:after="20"/>
            </w:pPr>
            <w:r>
              <w:rPr>
                <w:rFonts w:ascii="游ゴシック" w:hAnsi="游ゴシック" w:eastAsia="游ゴシック"/>
                <w:b w:val="0"/>
                <w:i w:val="0"/>
                <w:sz w:val="17"/>
              </w:rPr>
              <w:t>高齢者向け住まい</w:t>
            </w:r>
          </w:p>
        </w:tc>
        <w:tc>
          <w:tcPr>
            <w:tcW w:type="dxa" w:w="3632"/>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keepNext/>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981"/>
        <w:gridCol w:w="3644"/>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81"/>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364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2126"/>
            <w:vAlign w:val="center"/>
          </w:tcPr>
          <w:p>
            <w:pPr>
              <w:spacing w:before="20" w:after="20"/>
            </w:pPr>
            <w:r>
              <w:rPr>
                <w:rFonts w:ascii="游ゴシック" w:hAnsi="游ゴシック" w:eastAsia="游ゴシック"/>
                <w:b/>
                <w:i w:val="0"/>
                <w:sz w:val="17"/>
              </w:rPr>
              <w:t>第1号被保険者負担割合（政令）</w:t>
            </w:r>
          </w:p>
        </w:tc>
        <w:tc>
          <w:tcPr>
            <w:tcW w:type="dxa" w:w="3981"/>
            <w:vAlign w:val="center"/>
          </w:tcPr>
          <w:p>
            <w:pPr>
              <w:spacing w:before="20" w:after="20"/>
            </w:pPr>
            <w:r>
              <w:rPr>
                <w:rFonts w:ascii="游ゴシック" w:hAnsi="游ゴシック" w:eastAsia="游ゴシック"/>
                <w:b/>
                <w:i w:val="0"/>
                <w:sz w:val="17"/>
              </w:rPr>
              <w:t>保険料基準額。1ポイントで月額269円動く</w:t>
            </w:r>
          </w:p>
        </w:tc>
        <w:tc>
          <w:tcPr>
            <w:tcW w:type="dxa" w:w="3644"/>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2126"/>
            <w:vAlign w:val="center"/>
          </w:tcPr>
          <w:p>
            <w:pPr>
              <w:spacing w:before="20" w:after="20"/>
            </w:pPr>
            <w:r>
              <w:rPr>
                <w:rFonts w:ascii="游ゴシック" w:hAnsi="游ゴシック" w:eastAsia="游ゴシック"/>
                <w:b/>
                <w:i w:val="0"/>
                <w:sz w:val="17"/>
              </w:rPr>
              <w:t>介護報酬の改定率</w:t>
            </w:r>
          </w:p>
        </w:tc>
        <w:tc>
          <w:tcPr>
            <w:tcW w:type="dxa" w:w="3981"/>
            <w:vAlign w:val="center"/>
          </w:tcPr>
          <w:p>
            <w:pPr>
              <w:spacing w:before="20" w:after="20"/>
            </w:pPr>
            <w:r>
              <w:rPr>
                <w:rFonts w:ascii="游ゴシック" w:hAnsi="游ゴシック" w:eastAsia="游ゴシック"/>
                <w:b/>
                <w:i w:val="0"/>
                <w:sz w:val="17"/>
              </w:rPr>
              <w:t>サービス単価、総給付費、保険料基準額</w:t>
            </w:r>
          </w:p>
        </w:tc>
        <w:tc>
          <w:tcPr>
            <w:tcW w:type="dxa" w:w="3644"/>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2126"/>
            <w:vAlign w:val="center"/>
          </w:tcPr>
          <w:p>
            <w:pPr>
              <w:spacing w:before="20" w:after="20"/>
            </w:pPr>
            <w:r>
              <w:rPr>
                <w:rFonts w:ascii="游ゴシック" w:hAnsi="游ゴシック" w:eastAsia="游ゴシック"/>
                <w:b w:val="0"/>
                <w:i w:val="0"/>
                <w:sz w:val="17"/>
              </w:rPr>
              <w:t>給付と負担の見直し</w:t>
            </w:r>
          </w:p>
        </w:tc>
        <w:tc>
          <w:tcPr>
            <w:tcW w:type="dxa" w:w="3981"/>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3644"/>
            <w:vAlign w:val="center"/>
          </w:tcPr>
          <w:p>
            <w:pPr>
              <w:spacing w:before="20" w:after="20"/>
            </w:pPr>
            <w:r>
              <w:rPr>
                <w:rFonts w:ascii="游ゴシック" w:hAnsi="游ゴシック" w:eastAsia="游ゴシック"/>
                <w:b w:val="0"/>
                <w:i w:val="0"/>
                <w:sz w:val="17"/>
              </w:rPr>
              <w:t>【町データ待ち】</w:t>
            </w:r>
          </w:p>
        </w:tc>
      </w:tr>
      <w:tr>
        <w:tc>
          <w:tcPr>
            <w:tcW w:type="dxa" w:w="2126"/>
            <w:vAlign w:val="center"/>
          </w:tcPr>
          <w:p>
            <w:pPr>
              <w:spacing w:before="20" w:after="20"/>
            </w:pPr>
            <w:r>
              <w:rPr>
                <w:rFonts w:ascii="游ゴシック" w:hAnsi="游ゴシック" w:eastAsia="游ゴシック"/>
                <w:b w:val="0"/>
                <w:i w:val="0"/>
                <w:sz w:val="17"/>
              </w:rPr>
              <w:t>地域支援事業の見直し</w:t>
            </w:r>
          </w:p>
        </w:tc>
        <w:tc>
          <w:tcPr>
            <w:tcW w:type="dxa" w:w="3981"/>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3644"/>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21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981"/>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3644"/>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21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981"/>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3644"/>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2126"/>
            <w:vAlign w:val="center"/>
          </w:tcPr>
          <w:p>
            <w:pPr>
              <w:spacing w:before="20" w:after="20"/>
            </w:pPr>
            <w:r>
              <w:rPr>
                <w:rFonts w:ascii="游ゴシック" w:hAnsi="游ゴシック" w:eastAsia="游ゴシック"/>
                <w:b w:val="0"/>
                <w:i w:val="0"/>
                <w:sz w:val="17"/>
              </w:rPr>
              <w:t>同（適用の可否を確かめるもの）</w:t>
            </w:r>
          </w:p>
        </w:tc>
        <w:tc>
          <w:tcPr>
            <w:tcW w:type="dxa" w:w="3981"/>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3644"/>
            <w:vAlign w:val="center"/>
          </w:tcPr>
          <w:p>
            <w:pPr>
              <w:spacing w:before="20" w:after="20"/>
            </w:pPr>
            <w:r>
              <w:rPr>
                <w:rFonts w:ascii="游ゴシック" w:hAnsi="游ゴシック" w:eastAsia="游ゴシック"/>
                <w:b/>
                <w:i w:val="0"/>
                <w:sz w:val="17"/>
              </w:rPr>
              <w:t>対象地域は国が高齢者の人口密度・高齢者人口の減少などに着目した客観的な基準を定める。過疎地域であることが対象を意味しない。本町が対象となるかは【町データ待ち】であり、本文には書いていない</w:t>
            </w:r>
          </w:p>
        </w:tc>
      </w:tr>
      <w:tr>
        <w:tc>
          <w:tcPr>
            <w:tcW w:type="dxa" w:w="21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981"/>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3644"/>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21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981"/>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3644"/>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keepNext/>
              <w:spacing w:before="20" w:after="20"/>
            </w:pPr>
            <w:r>
              <w:rPr>
                <w:rFonts w:ascii="游ゴシック" w:hAnsi="游ゴシック" w:eastAsia="游ゴシック"/>
                <w:b w:val="0"/>
                <w:i w:val="0"/>
                <w:sz w:val="17"/>
              </w:rPr>
              <w:t>小野町過疎地域持続的発展計画</w:t>
            </w:r>
          </w:p>
        </w:tc>
        <w:tc>
          <w:tcPr>
            <w:tcW w:type="dxa" w:w="1954"/>
            <w:vAlign w:val="center"/>
          </w:tcPr>
          <w:p>
            <w:pPr>
              <w:keepNext/>
              <w:spacing w:before="20" w:after="20"/>
            </w:pPr>
            <w:r>
              <w:rPr>
                <w:rFonts w:ascii="游ゴシック" w:hAnsi="游ゴシック" w:eastAsia="游ゴシック"/>
                <w:b w:val="0"/>
                <w:i w:val="0"/>
                <w:sz w:val="17"/>
              </w:rPr>
              <w:t>―</w:t>
            </w:r>
          </w:p>
        </w:tc>
        <w:tc>
          <w:tcPr>
            <w:tcW w:type="dxa" w:w="4907"/>
            <w:vAlign w:val="center"/>
          </w:tcPr>
          <w:p>
            <w:pPr>
              <w:keepNext/>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keepNext/>
              <w:spacing w:before="20" w:after="20"/>
            </w:pPr>
            <w:r>
              <w:rPr>
                <w:rFonts w:ascii="游ゴシック" w:hAnsi="游ゴシック" w:eastAsia="游ゴシック"/>
                <w:b w:val="0"/>
                <w:i w:val="0"/>
                <w:sz w:val="17"/>
              </w:rPr>
              <w:t>交通事情</w:t>
            </w:r>
          </w:p>
        </w:tc>
        <w:tc>
          <w:tcPr>
            <w:tcW w:type="dxa" w:w="4538"/>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keepNext/>
              <w:spacing w:before="20" w:after="20"/>
            </w:pPr>
            <w:r>
              <w:rPr>
                <w:rFonts w:ascii="游ゴシック" w:hAnsi="游ゴシック" w:eastAsia="游ゴシック"/>
                <w:b/>
                <w:i w:val="0"/>
                <w:sz w:val="17"/>
              </w:rPr>
              <w:t>多様なサービス・活動の実施状況</w:t>
            </w:r>
          </w:p>
        </w:tc>
        <w:tc>
          <w:tcPr>
            <w:tcW w:type="dxa" w:w="7933"/>
            <w:vAlign w:val="center"/>
          </w:tcPr>
          <w:p>
            <w:pPr>
              <w:keepNext/>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r>
          </w:p>
        </w:tc>
        <w:tc>
          <w:tcPr>
            <w:tcW w:type="dxa" w:w="3515"/>
            <w:vAlign w:val="center"/>
          </w:tcPr>
          <w:p>
            <w:pPr>
              <w:spacing w:before="20" w:after="20"/>
            </w:pPr>
            <w:r>
              <w:rPr>
                <w:rFonts w:ascii="游ゴシック" w:hAnsi="游ゴシック" w:eastAsia="游ゴシック"/>
                <w:b w:val="0"/>
                <w:i w:val="0"/>
                <w:sz w:val="17"/>
              </w:rPr>
              <w:t>町内に病院はなく、診療所と訪問看護1か所により在宅療養を支えていま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6,057円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【表114】第6章9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【表115】第6章10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【表116】第6章10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【表117】第6章10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【表118】第6章11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【表119】資料編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【表120】資料編8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【表121】資料編9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【表122】資料編10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【表123】資料編11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