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游ゴシック" w:hAnsi="游ゴシック" w:eastAsia="游ゴシック"/>
          <w:b/>
          <w:sz w:val="34"/>
        </w:rPr>
        <w:t>第9期計画の見込みと実績の対比</w:t>
      </w:r>
    </w:p>
    <w:p>
      <w:pPr>
        <w:jc w:val="center"/>
      </w:pPr>
      <w:r>
        <w:rPr>
          <w:rFonts w:ascii="游ゴシック" w:hAnsi="游ゴシック" w:eastAsia="游ゴシック"/>
          <w:sz w:val="23"/>
        </w:rPr>
        <w:t>小野町高齢者保健福祉計画・第10期介護保険事業計画</w:t>
      </w:r>
    </w:p>
    <w:p>
      <w:pPr>
        <w:jc w:val="center"/>
      </w:pPr>
      <w:r>
        <w:rPr>
          <w:rFonts w:ascii="游ゴシック" w:hAnsi="游ゴシック" w:eastAsia="游ゴシック"/>
          <w:sz w:val="23"/>
        </w:rPr>
        <w:t>策定支援業務　令和8年9月14日</w:t>
      </w:r>
    </w:p>
    <w:p/>
    <w:p>
      <w:pPr>
        <w:pStyle w:val="Heading1"/>
      </w:pPr>
      <w:r>
        <w:t>1　この文書の位置づけ</w:t>
      </w:r>
    </w:p>
    <w:p>
      <w:r>
        <w:t>委託仕様書は、第10期計画の策定にあたり前期計画の進捗状況を評価することを求めている。本文書は、そのうち給付費・保険料に関する部分について、第9期計画（令和6年3月策定）が見込んだ額と、介護保険事業状況報告（年報）で確定した実績とを対比したものである。成果品①（計画書）第7章7及び骨子案の参考1に反映する。</w:t>
      </w:r>
    </w:p>
    <w:p>
      <w:r>
        <w:t>令和8年9月8日に町から年報の令和3〜7年度分を受領したことにより、第9期の3年度のうち令和6年度・令和7年度の2年度について実績が確定した。令和8年度は年度途中であり、確定は令和9年夏の年報を待つ。</w:t>
      </w:r>
    </w:p>
    <w:p>
      <w:pPr>
        <w:pStyle w:val="Heading1"/>
      </w:pPr>
      <w:r>
        <w:t>2　結論</w:t>
      </w:r>
    </w:p>
    <w:p>
      <w:r>
        <w:t>第9期が見込んだ標準給付費に対し、令和6年度の実績は98.6％、令和7年度の実績は91.1％であった。令和6年度はほぼ見込みどおりだったが、令和7年度は106,199千円下振れした。第10期の見込みを第9期と同じ水準に置くと、同じ幅の過大見積りを繰り返すことになる。</w:t>
      </w:r>
    </w:p>
    <w:p>
      <w:r>
        <w:t>下振れの主因は令和7年度の総給付費である。見込み1,110,764千円に対し実績は1,005,144千円で、90.5％にとどまった。同じ年度に要支援・要介護認定者数が944人から792人へ152人減っており、この減少が令和7年9月審査分の1か月に集中していることが国保連の月報で確認されている。**したがって令和7年度の実績は、利用の実態が下がった結果というより、計上方法の変更を含んだ数字とみるのが妥当である。**町への照会結果を待って、第10期の基準年度としての扱いを確定する。</w:t>
      </w:r>
    </w:p>
    <w:p>
      <w:pPr>
        <w:pStyle w:val="Heading1"/>
      </w:pPr>
      <w:r>
        <w:t>3　標準給付費の対比</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游ゴシック" w:hAnsi="游ゴシック" w:eastAsia="游ゴシック"/>
                <w:b/>
                <w:sz w:val="18"/>
              </w:rPr>
              <w:t>区分</w:t>
            </w:r>
          </w:p>
        </w:tc>
        <w:tc>
          <w:tcPr>
            <w:tcW w:type="dxa" w:w="1234"/>
          </w:tcPr>
          <w:p>
            <w:r/>
            <w:r>
              <w:rPr>
                <w:rFonts w:ascii="游ゴシック" w:hAnsi="游ゴシック" w:eastAsia="游ゴシック"/>
                <w:b/>
                <w:sz w:val="18"/>
              </w:rPr>
              <w:t>令和6年度 見込</w:t>
            </w:r>
          </w:p>
        </w:tc>
        <w:tc>
          <w:tcPr>
            <w:tcW w:type="dxa" w:w="1234"/>
          </w:tcPr>
          <w:p>
            <w:r/>
            <w:r>
              <w:rPr>
                <w:rFonts w:ascii="游ゴシック" w:hAnsi="游ゴシック" w:eastAsia="游ゴシック"/>
                <w:b/>
                <w:sz w:val="18"/>
              </w:rPr>
              <w:t>令和6年度 実績</w:t>
            </w:r>
          </w:p>
        </w:tc>
        <w:tc>
          <w:tcPr>
            <w:tcW w:type="dxa" w:w="1234"/>
          </w:tcPr>
          <w:p>
            <w:r/>
            <w:r>
              <w:rPr>
                <w:rFonts w:ascii="游ゴシック" w:hAnsi="游ゴシック" w:eastAsia="游ゴシック"/>
                <w:b/>
                <w:sz w:val="18"/>
              </w:rPr>
              <w:t>達成率</w:t>
            </w:r>
          </w:p>
        </w:tc>
        <w:tc>
          <w:tcPr>
            <w:tcW w:type="dxa" w:w="1234"/>
          </w:tcPr>
          <w:p>
            <w:r/>
            <w:r>
              <w:rPr>
                <w:rFonts w:ascii="游ゴシック" w:hAnsi="游ゴシック" w:eastAsia="游ゴシック"/>
                <w:b/>
                <w:sz w:val="18"/>
              </w:rPr>
              <w:t>令和7年度 見込</w:t>
            </w:r>
          </w:p>
        </w:tc>
        <w:tc>
          <w:tcPr>
            <w:tcW w:type="dxa" w:w="1234"/>
          </w:tcPr>
          <w:p>
            <w:r/>
            <w:r>
              <w:rPr>
                <w:rFonts w:ascii="游ゴシック" w:hAnsi="游ゴシック" w:eastAsia="游ゴシック"/>
                <w:b/>
                <w:sz w:val="18"/>
              </w:rPr>
              <w:t>令和7年度 実績</w:t>
            </w:r>
          </w:p>
        </w:tc>
        <w:tc>
          <w:tcPr>
            <w:tcW w:type="dxa" w:w="1234"/>
          </w:tcPr>
          <w:p>
            <w:r/>
            <w:r>
              <w:rPr>
                <w:rFonts w:ascii="游ゴシック" w:hAnsi="游ゴシック" w:eastAsia="游ゴシック"/>
                <w:b/>
                <w:sz w:val="18"/>
              </w:rPr>
              <w:t>達成率</w:t>
            </w:r>
          </w:p>
        </w:tc>
      </w:tr>
      <w:tr>
        <w:tc>
          <w:tcPr>
            <w:tcW w:type="dxa" w:w="1234"/>
          </w:tcPr>
          <w:p>
            <w:r/>
            <w:r>
              <w:rPr>
                <w:sz w:val="18"/>
              </w:rPr>
              <w:t>総給付費</w:t>
            </w:r>
          </w:p>
        </w:tc>
        <w:tc>
          <w:tcPr>
            <w:tcW w:type="dxa" w:w="1234"/>
          </w:tcPr>
          <w:p>
            <w:r/>
            <w:r>
              <w:rPr>
                <w:sz w:val="18"/>
              </w:rPr>
              <w:t>1,106,604</w:t>
            </w:r>
          </w:p>
        </w:tc>
        <w:tc>
          <w:tcPr>
            <w:tcW w:type="dxa" w:w="1234"/>
          </w:tcPr>
          <w:p>
            <w:r/>
            <w:r>
              <w:rPr>
                <w:sz w:val="18"/>
              </w:rPr>
              <w:t>1,085,998</w:t>
            </w:r>
          </w:p>
        </w:tc>
        <w:tc>
          <w:tcPr>
            <w:tcW w:type="dxa" w:w="1234"/>
          </w:tcPr>
          <w:p>
            <w:r/>
            <w:r>
              <w:rPr>
                <w:sz w:val="18"/>
              </w:rPr>
              <w:t>98.1％</w:t>
            </w:r>
          </w:p>
        </w:tc>
        <w:tc>
          <w:tcPr>
            <w:tcW w:type="dxa" w:w="1234"/>
          </w:tcPr>
          <w:p>
            <w:r/>
            <w:r>
              <w:rPr>
                <w:sz w:val="18"/>
              </w:rPr>
              <w:t>1,110,764</w:t>
            </w:r>
          </w:p>
        </w:tc>
        <w:tc>
          <w:tcPr>
            <w:tcW w:type="dxa" w:w="1234"/>
          </w:tcPr>
          <w:p>
            <w:r/>
            <w:r>
              <w:rPr>
                <w:sz w:val="18"/>
              </w:rPr>
              <w:t>1,005,144</w:t>
            </w:r>
          </w:p>
        </w:tc>
        <w:tc>
          <w:tcPr>
            <w:tcW w:type="dxa" w:w="1234"/>
          </w:tcPr>
          <w:p>
            <w:r/>
            <w:r>
              <w:rPr>
                <w:sz w:val="18"/>
              </w:rPr>
              <w:t>90.5％</w:t>
            </w:r>
          </w:p>
        </w:tc>
      </w:tr>
      <w:tr>
        <w:tc>
          <w:tcPr>
            <w:tcW w:type="dxa" w:w="1234"/>
          </w:tcPr>
          <w:p>
            <w:r/>
            <w:r>
              <w:rPr>
                <w:sz w:val="18"/>
              </w:rPr>
              <w:t xml:space="preserve">　うち介護給付</w:t>
            </w:r>
          </w:p>
        </w:tc>
        <w:tc>
          <w:tcPr>
            <w:tcW w:type="dxa" w:w="1234"/>
          </w:tcPr>
          <w:p>
            <w:r/>
            <w:r>
              <w:rPr>
                <w:sz w:val="18"/>
              </w:rPr>
              <w:t>―</w:t>
            </w:r>
          </w:p>
        </w:tc>
        <w:tc>
          <w:tcPr>
            <w:tcW w:type="dxa" w:w="1234"/>
          </w:tcPr>
          <w:p>
            <w:r/>
            <w:r>
              <w:rPr>
                <w:sz w:val="18"/>
              </w:rPr>
              <w:t>1,047,707</w:t>
            </w:r>
          </w:p>
        </w:tc>
        <w:tc>
          <w:tcPr>
            <w:tcW w:type="dxa" w:w="1234"/>
          </w:tcPr>
          <w:p>
            <w:r/>
            <w:r>
              <w:rPr>
                <w:sz w:val="18"/>
              </w:rPr>
              <w:t>―</w:t>
            </w:r>
          </w:p>
        </w:tc>
        <w:tc>
          <w:tcPr>
            <w:tcW w:type="dxa" w:w="1234"/>
          </w:tcPr>
          <w:p>
            <w:r/>
            <w:r>
              <w:rPr>
                <w:sz w:val="18"/>
              </w:rPr>
              <w:t>―</w:t>
            </w:r>
          </w:p>
        </w:tc>
        <w:tc>
          <w:tcPr>
            <w:tcW w:type="dxa" w:w="1234"/>
          </w:tcPr>
          <w:p>
            <w:r/>
            <w:r>
              <w:rPr>
                <w:sz w:val="18"/>
              </w:rPr>
              <w:t>968,515</w:t>
            </w:r>
          </w:p>
        </w:tc>
        <w:tc>
          <w:tcPr>
            <w:tcW w:type="dxa" w:w="1234"/>
          </w:tcPr>
          <w:p>
            <w:r/>
            <w:r>
              <w:rPr>
                <w:sz w:val="18"/>
              </w:rPr>
              <w:t>―</w:t>
            </w:r>
          </w:p>
        </w:tc>
      </w:tr>
      <w:tr>
        <w:tc>
          <w:tcPr>
            <w:tcW w:type="dxa" w:w="1234"/>
          </w:tcPr>
          <w:p>
            <w:r/>
            <w:r>
              <w:rPr>
                <w:sz w:val="18"/>
              </w:rPr>
              <w:t xml:space="preserve">　うち予防給付</w:t>
            </w:r>
          </w:p>
        </w:tc>
        <w:tc>
          <w:tcPr>
            <w:tcW w:type="dxa" w:w="1234"/>
          </w:tcPr>
          <w:p>
            <w:r/>
            <w:r>
              <w:rPr>
                <w:sz w:val="18"/>
              </w:rPr>
              <w:t>―</w:t>
            </w:r>
          </w:p>
        </w:tc>
        <w:tc>
          <w:tcPr>
            <w:tcW w:type="dxa" w:w="1234"/>
          </w:tcPr>
          <w:p>
            <w:r/>
            <w:r>
              <w:rPr>
                <w:sz w:val="18"/>
              </w:rPr>
              <w:t>38,292</w:t>
            </w:r>
          </w:p>
        </w:tc>
        <w:tc>
          <w:tcPr>
            <w:tcW w:type="dxa" w:w="1234"/>
          </w:tcPr>
          <w:p>
            <w:r/>
            <w:r>
              <w:rPr>
                <w:sz w:val="18"/>
              </w:rPr>
              <w:t>―</w:t>
            </w:r>
          </w:p>
        </w:tc>
        <w:tc>
          <w:tcPr>
            <w:tcW w:type="dxa" w:w="1234"/>
          </w:tcPr>
          <w:p>
            <w:r/>
            <w:r>
              <w:rPr>
                <w:sz w:val="18"/>
              </w:rPr>
              <w:t>―</w:t>
            </w:r>
          </w:p>
        </w:tc>
        <w:tc>
          <w:tcPr>
            <w:tcW w:type="dxa" w:w="1234"/>
          </w:tcPr>
          <w:p>
            <w:r/>
            <w:r>
              <w:rPr>
                <w:sz w:val="18"/>
              </w:rPr>
              <w:t>36,629</w:t>
            </w:r>
          </w:p>
        </w:tc>
        <w:tc>
          <w:tcPr>
            <w:tcW w:type="dxa" w:w="1234"/>
          </w:tcPr>
          <w:p>
            <w:r/>
            <w:r>
              <w:rPr>
                <w:sz w:val="18"/>
              </w:rPr>
              <w:t>―</w:t>
            </w:r>
          </w:p>
        </w:tc>
      </w:tr>
      <w:tr>
        <w:tc>
          <w:tcPr>
            <w:tcW w:type="dxa" w:w="1234"/>
          </w:tcPr>
          <w:p>
            <w:r/>
            <w:r>
              <w:rPr>
                <w:sz w:val="18"/>
              </w:rPr>
              <w:t>特定入所者介護サービス費</w:t>
            </w:r>
          </w:p>
        </w:tc>
        <w:tc>
          <w:tcPr>
            <w:tcW w:type="dxa" w:w="1234"/>
          </w:tcPr>
          <w:p>
            <w:r/>
            <w:r>
              <w:rPr>
                <w:sz w:val="18"/>
              </w:rPr>
              <w:t>52,077</w:t>
            </w:r>
          </w:p>
        </w:tc>
        <w:tc>
          <w:tcPr>
            <w:tcW w:type="dxa" w:w="1234"/>
          </w:tcPr>
          <w:p>
            <w:r/>
            <w:r>
              <w:rPr>
                <w:sz w:val="18"/>
              </w:rPr>
              <w:t>52,990</w:t>
            </w:r>
          </w:p>
        </w:tc>
        <w:tc>
          <w:tcPr>
            <w:tcW w:type="dxa" w:w="1234"/>
          </w:tcPr>
          <w:p>
            <w:r/>
            <w:r>
              <w:rPr>
                <w:sz w:val="18"/>
              </w:rPr>
              <w:t>101.8％</w:t>
            </w:r>
          </w:p>
        </w:tc>
        <w:tc>
          <w:tcPr>
            <w:tcW w:type="dxa" w:w="1234"/>
          </w:tcPr>
          <w:p>
            <w:r/>
            <w:r>
              <w:rPr>
                <w:sz w:val="18"/>
              </w:rPr>
              <w:t>51,854</w:t>
            </w:r>
          </w:p>
        </w:tc>
        <w:tc>
          <w:tcPr>
            <w:tcW w:type="dxa" w:w="1234"/>
          </w:tcPr>
          <w:p>
            <w:r/>
            <w:r>
              <w:rPr>
                <w:sz w:val="18"/>
              </w:rPr>
              <w:t>49,691</w:t>
            </w:r>
          </w:p>
        </w:tc>
        <w:tc>
          <w:tcPr>
            <w:tcW w:type="dxa" w:w="1234"/>
          </w:tcPr>
          <w:p>
            <w:r/>
            <w:r>
              <w:rPr>
                <w:sz w:val="18"/>
              </w:rPr>
              <w:t>95.8％</w:t>
            </w:r>
          </w:p>
        </w:tc>
      </w:tr>
      <w:tr>
        <w:tc>
          <w:tcPr>
            <w:tcW w:type="dxa" w:w="1234"/>
          </w:tcPr>
          <w:p>
            <w:r/>
            <w:r>
              <w:rPr>
                <w:sz w:val="18"/>
              </w:rPr>
              <w:t>高額介護サービス費</w:t>
            </w:r>
          </w:p>
        </w:tc>
        <w:tc>
          <w:tcPr>
            <w:tcW w:type="dxa" w:w="1234"/>
          </w:tcPr>
          <w:p>
            <w:r/>
            <w:r>
              <w:rPr>
                <w:sz w:val="18"/>
              </w:rPr>
              <w:t>―</w:t>
            </w:r>
          </w:p>
        </w:tc>
        <w:tc>
          <w:tcPr>
            <w:tcW w:type="dxa" w:w="1234"/>
          </w:tcPr>
          <w:p>
            <w:r/>
            <w:r>
              <w:rPr>
                <w:sz w:val="18"/>
              </w:rPr>
              <w:t>28,201</w:t>
            </w:r>
          </w:p>
        </w:tc>
        <w:tc>
          <w:tcPr>
            <w:tcW w:type="dxa" w:w="1234"/>
          </w:tcPr>
          <w:p>
            <w:r/>
            <w:r>
              <w:rPr>
                <w:sz w:val="18"/>
              </w:rPr>
              <w:t>―</w:t>
            </w:r>
          </w:p>
        </w:tc>
        <w:tc>
          <w:tcPr>
            <w:tcW w:type="dxa" w:w="1234"/>
          </w:tcPr>
          <w:p>
            <w:r/>
            <w:r>
              <w:rPr>
                <w:sz w:val="18"/>
              </w:rPr>
              <w:t>―</w:t>
            </w:r>
          </w:p>
        </w:tc>
        <w:tc>
          <w:tcPr>
            <w:tcW w:type="dxa" w:w="1234"/>
          </w:tcPr>
          <w:p>
            <w:r/>
            <w:r>
              <w:rPr>
                <w:sz w:val="18"/>
              </w:rPr>
              <w:t>25,611</w:t>
            </w:r>
          </w:p>
        </w:tc>
        <w:tc>
          <w:tcPr>
            <w:tcW w:type="dxa" w:w="1234"/>
          </w:tcPr>
          <w:p>
            <w:r/>
            <w:r>
              <w:rPr>
                <w:sz w:val="18"/>
              </w:rPr>
              <w:t>―</w:t>
            </w:r>
          </w:p>
        </w:tc>
      </w:tr>
      <w:tr>
        <w:tc>
          <w:tcPr>
            <w:tcW w:type="dxa" w:w="1234"/>
          </w:tcPr>
          <w:p>
            <w:r/>
            <w:r>
              <w:rPr>
                <w:sz w:val="18"/>
              </w:rPr>
              <w:t>高額医療合算介護サービス費</w:t>
            </w:r>
          </w:p>
        </w:tc>
        <w:tc>
          <w:tcPr>
            <w:tcW w:type="dxa" w:w="1234"/>
          </w:tcPr>
          <w:p>
            <w:r/>
            <w:r>
              <w:rPr>
                <w:sz w:val="18"/>
              </w:rPr>
              <w:t>―</w:t>
            </w:r>
          </w:p>
        </w:tc>
        <w:tc>
          <w:tcPr>
            <w:tcW w:type="dxa" w:w="1234"/>
          </w:tcPr>
          <w:p>
            <w:r/>
            <w:r>
              <w:rPr>
                <w:sz w:val="18"/>
              </w:rPr>
              <w:t>2,281</w:t>
            </w:r>
          </w:p>
        </w:tc>
        <w:tc>
          <w:tcPr>
            <w:tcW w:type="dxa" w:w="1234"/>
          </w:tcPr>
          <w:p>
            <w:r/>
            <w:r>
              <w:rPr>
                <w:sz w:val="18"/>
              </w:rPr>
              <w:t>―</w:t>
            </w:r>
          </w:p>
        </w:tc>
        <w:tc>
          <w:tcPr>
            <w:tcW w:type="dxa" w:w="1234"/>
          </w:tcPr>
          <w:p>
            <w:r/>
            <w:r>
              <w:rPr>
                <w:sz w:val="18"/>
              </w:rPr>
              <w:t>―</w:t>
            </w:r>
          </w:p>
        </w:tc>
        <w:tc>
          <w:tcPr>
            <w:tcW w:type="dxa" w:w="1234"/>
          </w:tcPr>
          <w:p>
            <w:r/>
            <w:r>
              <w:rPr>
                <w:sz w:val="18"/>
              </w:rPr>
              <w:t>3,067</w:t>
            </w:r>
          </w:p>
        </w:tc>
        <w:tc>
          <w:tcPr>
            <w:tcW w:type="dxa" w:w="1234"/>
          </w:tcPr>
          <w:p>
            <w:r/>
            <w:r>
              <w:rPr>
                <w:sz w:val="18"/>
              </w:rPr>
              <w:t>―</w:t>
            </w:r>
          </w:p>
        </w:tc>
      </w:tr>
      <w:tr>
        <w:tc>
          <w:tcPr>
            <w:tcW w:type="dxa" w:w="1234"/>
          </w:tcPr>
          <w:p>
            <w:r/>
            <w:r>
              <w:rPr>
                <w:sz w:val="18"/>
              </w:rPr>
              <w:t>標準給付費（手数料を除く）</w:t>
            </w:r>
          </w:p>
        </w:tc>
        <w:tc>
          <w:tcPr>
            <w:tcW w:type="dxa" w:w="1234"/>
          </w:tcPr>
          <w:p>
            <w:r/>
            <w:r>
              <w:rPr>
                <w:sz w:val="18"/>
              </w:rPr>
              <w:t>1,185,894</w:t>
            </w:r>
          </w:p>
        </w:tc>
        <w:tc>
          <w:tcPr>
            <w:tcW w:type="dxa" w:w="1234"/>
          </w:tcPr>
          <w:p>
            <w:r/>
            <w:r>
              <w:rPr>
                <w:sz w:val="18"/>
              </w:rPr>
              <w:t>1,169,470</w:t>
            </w:r>
          </w:p>
        </w:tc>
        <w:tc>
          <w:tcPr>
            <w:tcW w:type="dxa" w:w="1234"/>
          </w:tcPr>
          <w:p>
            <w:r/>
            <w:r>
              <w:rPr>
                <w:sz w:val="18"/>
              </w:rPr>
              <w:t>98.6％</w:t>
            </w:r>
          </w:p>
        </w:tc>
        <w:tc>
          <w:tcPr>
            <w:tcW w:type="dxa" w:w="1234"/>
          </w:tcPr>
          <w:p>
            <w:r/>
            <w:r>
              <w:rPr>
                <w:sz w:val="18"/>
              </w:rPr>
              <w:t>1,189,712</w:t>
            </w:r>
          </w:p>
        </w:tc>
        <w:tc>
          <w:tcPr>
            <w:tcW w:type="dxa" w:w="1234"/>
          </w:tcPr>
          <w:p>
            <w:r/>
            <w:r>
              <w:rPr>
                <w:sz w:val="18"/>
              </w:rPr>
              <w:t>1,083,513</w:t>
            </w:r>
          </w:p>
        </w:tc>
        <w:tc>
          <w:tcPr>
            <w:tcW w:type="dxa" w:w="1234"/>
          </w:tcPr>
          <w:p>
            <w:r/>
            <w:r>
              <w:rPr>
                <w:sz w:val="18"/>
              </w:rPr>
              <w:t>91.1％</w:t>
            </w:r>
          </w:p>
        </w:tc>
      </w:tr>
    </w:tbl>
    <w:p>
      <w:r>
        <w:rPr>
          <w:i/>
          <w:sz w:val="18"/>
        </w:rPr>
        <w:t>※ 見込みは第9期計画本文、実績は介護保険事業状況報告（年報）様式3による。様式3の総給付費は、様式2のサービス別給付費の合計と全年度で完全に一致する。実績側には審査支払手数料を含まない（年報に計上欄がないため）。第9期の見込額は手数料を含むため、実績側がその分だけ小さく出る。令和7年度の件数14,488件に1件60円を乗じると869千円であり、達成率への影響は0.1ポイント程度である。</w:t>
      </w:r>
    </w:p>
    <w:p/>
    <w:p>
      <w:r>
        <w:t>特定入所者介護サービス費は、令和6年度・令和7年度とも見込みに対してほぼ計画どおりである。補足給付は施設・居住系の利用と連動しており、認定者数の変動の影響を受けにくい。**これは、令和7年度の総給付費の下振れが施設利用の減少によるものではないことを示す。**</w:t>
      </w:r>
    </w:p>
    <w:p>
      <w:pPr>
        <w:sectPr>
          <w:pgSz w:w="12240" w:h="15840"/>
          <w:pgMar w:top="1440" w:right="1800" w:bottom="1440" w:left="1800" w:header="720" w:footer="720" w:gutter="0"/>
          <w:cols w:space="720"/>
          <w:docGrid w:linePitch="360"/>
        </w:sectPr>
      </w:pPr>
    </w:p>
    <w:p>
      <w:pPr>
        <w:pStyle w:val="Heading1"/>
      </w:pPr>
      <w:r>
        <w:t>4　地域支援事業費の対比</w:t>
      </w:r>
    </w:p>
    <w:p>
      <w:r>
        <w:t>地域支援事業費は、年報の様式4（介護保険特別会計経理状況）の令和6年度・令和7年度が未入力のため、実績が取れていない。町の決算書（歳入歳出決算書及び主要な施策の成果に関する説明書）の受領を要す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区分</w:t>
            </w:r>
          </w:p>
        </w:tc>
        <w:tc>
          <w:tcPr>
            <w:tcW w:type="dxa" w:w="1440"/>
          </w:tcPr>
          <w:p>
            <w:r/>
            <w:r>
              <w:rPr>
                <w:rFonts w:ascii="游ゴシック" w:hAnsi="游ゴシック" w:eastAsia="游ゴシック"/>
                <w:b/>
                <w:sz w:val="18"/>
              </w:rPr>
              <w:t>令和6年度 見込</w:t>
            </w:r>
          </w:p>
        </w:tc>
        <w:tc>
          <w:tcPr>
            <w:tcW w:type="dxa" w:w="1440"/>
          </w:tcPr>
          <w:p>
            <w:r/>
            <w:r>
              <w:rPr>
                <w:rFonts w:ascii="游ゴシック" w:hAnsi="游ゴシック" w:eastAsia="游ゴシック"/>
                <w:b/>
                <w:sz w:val="18"/>
              </w:rPr>
              <w:t>令和7年度 見込</w:t>
            </w:r>
          </w:p>
        </w:tc>
        <w:tc>
          <w:tcPr>
            <w:tcW w:type="dxa" w:w="1440"/>
          </w:tcPr>
          <w:p>
            <w:r/>
            <w:r>
              <w:rPr>
                <w:rFonts w:ascii="游ゴシック" w:hAnsi="游ゴシック" w:eastAsia="游ゴシック"/>
                <w:b/>
                <w:sz w:val="18"/>
              </w:rPr>
              <w:t>令和8年度 見込</w:t>
            </w:r>
          </w:p>
        </w:tc>
        <w:tc>
          <w:tcPr>
            <w:tcW w:type="dxa" w:w="1440"/>
          </w:tcPr>
          <w:p>
            <w:r/>
            <w:r>
              <w:rPr>
                <w:rFonts w:ascii="游ゴシック" w:hAnsi="游ゴシック" w:eastAsia="游ゴシック"/>
                <w:b/>
                <w:sz w:val="18"/>
              </w:rPr>
              <w:t>実績</w:t>
            </w:r>
          </w:p>
        </w:tc>
        <w:tc>
          <w:tcPr>
            <w:tcW w:type="dxa" w:w="1440"/>
          </w:tcPr>
          <w:p>
            <w:r/>
            <w:r>
              <w:rPr>
                <w:rFonts w:ascii="游ゴシック" w:hAnsi="游ゴシック" w:eastAsia="游ゴシック"/>
                <w:b/>
                <w:sz w:val="18"/>
              </w:rPr>
              <w:t>確認事項</w:t>
            </w:r>
          </w:p>
        </w:tc>
      </w:tr>
      <w:tr>
        <w:tc>
          <w:tcPr>
            <w:tcW w:type="dxa" w:w="1440"/>
          </w:tcPr>
          <w:p>
            <w:r/>
            <w:r>
              <w:rPr>
                <w:sz w:val="18"/>
              </w:rPr>
              <w:t>地域支援事業費</w:t>
            </w:r>
          </w:p>
        </w:tc>
        <w:tc>
          <w:tcPr>
            <w:tcW w:type="dxa" w:w="1440"/>
          </w:tcPr>
          <w:p>
            <w:r/>
            <w:r>
              <w:rPr>
                <w:sz w:val="18"/>
              </w:rPr>
              <w:t>67,320</w:t>
            </w:r>
          </w:p>
        </w:tc>
        <w:tc>
          <w:tcPr>
            <w:tcW w:type="dxa" w:w="1440"/>
          </w:tcPr>
          <w:p>
            <w:r/>
            <w:r>
              <w:rPr>
                <w:sz w:val="18"/>
              </w:rPr>
              <w:t>69,120</w:t>
            </w:r>
          </w:p>
        </w:tc>
        <w:tc>
          <w:tcPr>
            <w:tcW w:type="dxa" w:w="1440"/>
          </w:tcPr>
          <w:p>
            <w:r/>
            <w:r>
              <w:rPr>
                <w:sz w:val="18"/>
              </w:rPr>
              <w:t>70,820</w:t>
            </w:r>
          </w:p>
        </w:tc>
        <w:tc>
          <w:tcPr>
            <w:tcW w:type="dxa" w:w="1440"/>
          </w:tcPr>
          <w:p>
            <w:r/>
            <w:r>
              <w:rPr>
                <w:sz w:val="18"/>
              </w:rPr>
              <w:t>未受領</w:t>
            </w:r>
          </w:p>
        </w:tc>
        <w:tc>
          <w:tcPr>
            <w:tcW w:type="dxa" w:w="1440"/>
          </w:tcPr>
          <w:p>
            <w:r/>
            <w:r>
              <w:rPr>
                <w:sz w:val="18"/>
              </w:rPr>
              <w:t>3年計207,260千円。令和5年度決算は63,400千円で、見込みは実績を上回る設定</w:t>
            </w:r>
          </w:p>
        </w:tc>
      </w:tr>
      <w:tr>
        <w:tc>
          <w:tcPr>
            <w:tcW w:type="dxa" w:w="1440"/>
          </w:tcPr>
          <w:p>
            <w:r/>
            <w:r>
              <w:rPr>
                <w:sz w:val="18"/>
              </w:rPr>
              <w:t xml:space="preserve">　うち総合事業費</w:t>
            </w:r>
          </w:p>
        </w:tc>
        <w:tc>
          <w:tcPr>
            <w:tcW w:type="dxa" w:w="1440"/>
          </w:tcPr>
          <w:p>
            <w:r/>
            <w:r>
              <w:rPr>
                <w:sz w:val="18"/>
              </w:rPr>
              <w:t>36,220</w:t>
            </w:r>
          </w:p>
        </w:tc>
        <w:tc>
          <w:tcPr>
            <w:tcW w:type="dxa" w:w="1440"/>
          </w:tcPr>
          <w:p>
            <w:r/>
            <w:r>
              <w:rPr>
                <w:sz w:val="18"/>
              </w:rPr>
              <w:t>37,020</w:t>
            </w:r>
          </w:p>
        </w:tc>
        <w:tc>
          <w:tcPr>
            <w:tcW w:type="dxa" w:w="1440"/>
          </w:tcPr>
          <w:p>
            <w:r/>
            <w:r>
              <w:rPr>
                <w:sz w:val="18"/>
              </w:rPr>
              <w:t>37,720</w:t>
            </w:r>
          </w:p>
        </w:tc>
        <w:tc>
          <w:tcPr>
            <w:tcW w:type="dxa" w:w="1440"/>
          </w:tcPr>
          <w:p>
            <w:r/>
            <w:r>
              <w:rPr>
                <w:sz w:val="18"/>
              </w:rPr>
              <w:t>未受領</w:t>
            </w:r>
          </w:p>
        </w:tc>
        <w:tc>
          <w:tcPr>
            <w:tcW w:type="dxa" w:w="1440"/>
          </w:tcPr>
          <w:p>
            <w:r/>
            <w:r>
              <w:rPr>
                <w:sz w:val="18"/>
              </w:rPr>
              <w:t>令和5年度は介護予防・生活支援サービス事業34,700千円、一般介護予防事業1,000千円。一般介護予防（通いの場等）がほぼ計上されていない</w:t>
            </w:r>
          </w:p>
        </w:tc>
      </w:tr>
      <w:tr>
        <w:tc>
          <w:tcPr>
            <w:tcW w:type="dxa" w:w="1440"/>
          </w:tcPr>
          <w:p>
            <w:r/>
            <w:r>
              <w:rPr>
                <w:sz w:val="18"/>
              </w:rPr>
              <w:t xml:space="preserve">　うち包括的支援事業・任意事業費</w:t>
            </w:r>
          </w:p>
        </w:tc>
        <w:tc>
          <w:tcPr>
            <w:tcW w:type="dxa" w:w="1440"/>
          </w:tcPr>
          <w:p>
            <w:r/>
            <w:r>
              <w:rPr>
                <w:sz w:val="18"/>
              </w:rPr>
              <w:t>24,000</w:t>
            </w:r>
          </w:p>
        </w:tc>
        <w:tc>
          <w:tcPr>
            <w:tcW w:type="dxa" w:w="1440"/>
          </w:tcPr>
          <w:p>
            <w:r/>
            <w:r>
              <w:rPr>
                <w:sz w:val="18"/>
              </w:rPr>
              <w:t>25,000</w:t>
            </w:r>
          </w:p>
        </w:tc>
        <w:tc>
          <w:tcPr>
            <w:tcW w:type="dxa" w:w="1440"/>
          </w:tcPr>
          <w:p>
            <w:r/>
            <w:r>
              <w:rPr>
                <w:sz w:val="18"/>
              </w:rPr>
              <w:t>26,000</w:t>
            </w:r>
          </w:p>
        </w:tc>
        <w:tc>
          <w:tcPr>
            <w:tcW w:type="dxa" w:w="1440"/>
          </w:tcPr>
          <w:p>
            <w:r/>
            <w:r>
              <w:rPr>
                <w:sz w:val="18"/>
              </w:rPr>
              <w:t>未受領</w:t>
            </w:r>
          </w:p>
        </w:tc>
        <w:tc>
          <w:tcPr>
            <w:tcW w:type="dxa" w:w="1440"/>
          </w:tcPr>
          <w:p>
            <w:r/>
            <w:r>
              <w:rPr>
                <w:sz w:val="18"/>
              </w:rPr>
              <w:t>令和5年度決算は27,600千円（社会保障充実分を含む）で見込みを上回る</w:t>
            </w:r>
          </w:p>
        </w:tc>
      </w:tr>
    </w:tbl>
    <w:p>
      <w:r>
        <w:rPr>
          <w:i/>
          <w:sz w:val="18"/>
        </w:rPr>
        <w:t>※ 単位は千円。見込みは第9期計画本文による。</w:t>
      </w:r>
    </w:p>
    <w:p>
      <w:pPr>
        <w:pStyle w:val="Heading1"/>
      </w:pPr>
      <w:r>
        <w:t>5　保険料算定の前提の対比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第9期の設定</w:t>
            </w:r>
          </w:p>
        </w:tc>
        <w:tc>
          <w:tcPr>
            <w:tcW w:type="dxa" w:w="2160"/>
          </w:tcPr>
          <w:p>
            <w:r/>
            <w:r>
              <w:rPr>
                <w:rFonts w:ascii="游ゴシック" w:hAnsi="游ゴシック" w:eastAsia="游ゴシック"/>
                <w:b/>
                <w:sz w:val="18"/>
              </w:rPr>
              <w:t>実績</w:t>
            </w:r>
          </w:p>
        </w:tc>
        <w:tc>
          <w:tcPr>
            <w:tcW w:type="dxa" w:w="2160"/>
          </w:tcPr>
          <w:p>
            <w:r/>
            <w:r>
              <w:rPr>
                <w:rFonts w:ascii="游ゴシック" w:hAnsi="游ゴシック" w:eastAsia="游ゴシック"/>
                <w:b/>
                <w:sz w:val="18"/>
              </w:rPr>
              <w:t>評価</w:t>
            </w:r>
          </w:p>
        </w:tc>
      </w:tr>
      <w:tr>
        <w:tc>
          <w:tcPr>
            <w:tcW w:type="dxa" w:w="2160"/>
          </w:tcPr>
          <w:p>
            <w:r/>
            <w:r>
              <w:rPr>
                <w:sz w:val="18"/>
              </w:rPr>
              <w:t>保険料基準額（月額）</w:t>
            </w:r>
          </w:p>
        </w:tc>
        <w:tc>
          <w:tcPr>
            <w:tcW w:type="dxa" w:w="2160"/>
          </w:tcPr>
          <w:p>
            <w:r/>
            <w:r>
              <w:rPr>
                <w:sz w:val="18"/>
              </w:rPr>
              <w:t>6,600円（算定値6,886円を基金取崩により6,597円とし、100円未満切上げ）</w:t>
            </w:r>
          </w:p>
        </w:tc>
        <w:tc>
          <w:tcPr>
            <w:tcW w:type="dxa" w:w="2160"/>
          </w:tcPr>
          <w:p>
            <w:r/>
            <w:r>
              <w:rPr>
                <w:sz w:val="18"/>
              </w:rPr>
              <w:t>6,600円</w:t>
            </w:r>
          </w:p>
        </w:tc>
        <w:tc>
          <w:tcPr>
            <w:tcW w:type="dxa" w:w="2160"/>
          </w:tcPr>
          <w:p>
            <w:r/>
            <w:r>
              <w:rPr>
                <w:sz w:val="18"/>
              </w:rPr>
              <w:t>平成30年度以降据置。第10期は基金・繰越金の水準を踏まえ、据置・引下げ・取崩の判断が論点となる</w:t>
            </w:r>
          </w:p>
        </w:tc>
      </w:tr>
      <w:tr>
        <w:tc>
          <w:tcPr>
            <w:tcW w:type="dxa" w:w="2160"/>
          </w:tcPr>
          <w:p>
            <w:r/>
            <w:r>
              <w:rPr>
                <w:sz w:val="18"/>
              </w:rPr>
              <w:t>予定収納率（現年度分）</w:t>
            </w:r>
          </w:p>
        </w:tc>
        <w:tc>
          <w:tcPr>
            <w:tcW w:type="dxa" w:w="2160"/>
          </w:tcPr>
          <w:p>
            <w:r/>
            <w:r>
              <w:rPr>
                <w:sz w:val="18"/>
              </w:rPr>
              <w:t>99.40％</w:t>
            </w:r>
          </w:p>
        </w:tc>
        <w:tc>
          <w:tcPr>
            <w:tcW w:type="dxa" w:w="2160"/>
          </w:tcPr>
          <w:p>
            <w:r/>
            <w:r>
              <w:rPr>
                <w:sz w:val="18"/>
              </w:rPr>
              <w:t>令和6年度 99.36％／令和7年度 99.35％</w:t>
            </w:r>
          </w:p>
        </w:tc>
        <w:tc>
          <w:tcPr>
            <w:tcW w:type="dxa" w:w="2160"/>
          </w:tcPr>
          <w:p>
            <w:r/>
            <w:r>
              <w:rPr>
                <w:sz w:val="18"/>
              </w:rPr>
              <w:t>実績は予定をわずかに下回る。第10期は99.35％で置く</w:t>
            </w:r>
          </w:p>
        </w:tc>
      </w:tr>
      <w:tr>
        <w:tc>
          <w:tcPr>
            <w:tcW w:type="dxa" w:w="2160"/>
          </w:tcPr>
          <w:p>
            <w:r/>
            <w:r>
              <w:rPr>
                <w:sz w:val="18"/>
              </w:rPr>
              <w:t>保険料収納必要額</w:t>
            </w:r>
          </w:p>
        </w:tc>
        <w:tc>
          <w:tcPr>
            <w:tcW w:type="dxa" w:w="2160"/>
          </w:tcPr>
          <w:p>
            <w:r/>
            <w:r>
              <w:rPr>
                <w:sz w:val="18"/>
              </w:rPr>
              <w:t>832,562千円（基金取崩前）／797,563千円（取崩後）</w:t>
            </w:r>
          </w:p>
        </w:tc>
        <w:tc>
          <w:tcPr>
            <w:tcW w:type="dxa" w:w="2160"/>
          </w:tcPr>
          <w:p>
            <w:r/>
            <w:r>
              <w:rPr>
                <w:sz w:val="18"/>
              </w:rPr>
              <w:t>調定額（現年度分）は令和6年度 258,621千円／令和7年度 265,882千円</w:t>
            </w:r>
          </w:p>
        </w:tc>
        <w:tc>
          <w:tcPr>
            <w:tcW w:type="dxa" w:w="2160"/>
          </w:tcPr>
          <w:p>
            <w:r/>
            <w:r>
              <w:rPr>
                <w:sz w:val="18"/>
              </w:rPr>
              <w:t>令和7年度の調定額は令和6年度から+2.8％。3年計は概ね見込みどおりの水準</w:t>
            </w:r>
          </w:p>
        </w:tc>
      </w:tr>
      <w:tr>
        <w:tc>
          <w:tcPr>
            <w:tcW w:type="dxa" w:w="2160"/>
          </w:tcPr>
          <w:p>
            <w:r/>
            <w:r>
              <w:rPr>
                <w:sz w:val="18"/>
              </w:rPr>
              <w:t>介護給付費準備基金の取崩</w:t>
            </w:r>
          </w:p>
        </w:tc>
        <w:tc>
          <w:tcPr>
            <w:tcW w:type="dxa" w:w="2160"/>
          </w:tcPr>
          <w:p>
            <w:r/>
            <w:r>
              <w:rPr>
                <w:sz w:val="18"/>
              </w:rPr>
              <w:t>3年間で35,000千円</w:t>
            </w:r>
          </w:p>
        </w:tc>
        <w:tc>
          <w:tcPr>
            <w:tcW w:type="dxa" w:w="2160"/>
          </w:tcPr>
          <w:p>
            <w:r/>
            <w:r>
              <w:rPr>
                <w:sz w:val="18"/>
              </w:rPr>
              <w:t>令和5年度末・令和6年度末の保有額はいずれも12,000千円</w:t>
            </w:r>
          </w:p>
        </w:tc>
        <w:tc>
          <w:tcPr>
            <w:tcW w:type="dxa" w:w="2160"/>
          </w:tcPr>
          <w:p>
            <w:r/>
            <w:r>
              <w:rPr>
                <w:sz w:val="18"/>
              </w:rPr>
              <w:t>**令和4年度末の120,000千円から1桁減っている。取崩の実績なのか入力誤りなのか、町への確認を要する。35,000千円を取り崩した場合、残高は不足する**</w:t>
            </w:r>
          </w:p>
        </w:tc>
      </w:tr>
      <w:tr>
        <w:tc>
          <w:tcPr>
            <w:tcW w:type="dxa" w:w="2160"/>
          </w:tcPr>
          <w:p>
            <w:r/>
            <w:r>
              <w:rPr>
                <w:sz w:val="18"/>
              </w:rPr>
              <w:t>所得段階</w:t>
            </w:r>
          </w:p>
        </w:tc>
        <w:tc>
          <w:tcPr>
            <w:tcW w:type="dxa" w:w="2160"/>
          </w:tcPr>
          <w:p>
            <w:r/>
            <w:r>
              <w:rPr>
                <w:sz w:val="18"/>
              </w:rPr>
              <w:t>13段階（第1段階0.285〜第4段階0.900）</w:t>
            </w:r>
          </w:p>
        </w:tc>
        <w:tc>
          <w:tcPr>
            <w:tcW w:type="dxa" w:w="2160"/>
          </w:tcPr>
          <w:p>
            <w:r/>
            <w:r>
              <w:rPr>
                <w:sz w:val="18"/>
              </w:rPr>
              <w:t>令和7年度の年報 様式1 所得段階別で13段階を確認</w:t>
            </w:r>
          </w:p>
        </w:tc>
        <w:tc>
          <w:tcPr>
            <w:tcW w:type="dxa" w:w="2160"/>
          </w:tcPr>
          <w:p>
            <w:r/>
            <w:r>
              <w:rPr>
                <w:sz w:val="18"/>
              </w:rPr>
              <w:t>第1〜3段階の割合は27.7％。国の標準は第1段階0.285で一致</w:t>
            </w:r>
          </w:p>
        </w:tc>
      </w:tr>
    </w:tbl>
    <w:p>
      <w:pPr>
        <w:pStyle w:val="Heading1"/>
      </w:pPr>
      <w:r>
        <w:t>6　施設サービスの見込みとの対比</w:t>
      </w:r>
    </w:p>
    <w:p>
      <w:r>
        <w:t>第9期は施設サービスについて、介護老人福祉施設62人（187,243千円）、介護老人保健施設24人（81,076千円）、介護医療院0人を見込んでいた。年報の様式1の6による令和7年度の受給者数（年間延べ）は次のとおりであ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区分</w:t>
            </w:r>
          </w:p>
        </w:tc>
        <w:tc>
          <w:tcPr>
            <w:tcW w:type="dxa" w:w="1440"/>
          </w:tcPr>
          <w:p>
            <w:r/>
            <w:r>
              <w:rPr>
                <w:rFonts w:ascii="游ゴシック" w:hAnsi="游ゴシック" w:eastAsia="游ゴシック"/>
                <w:b/>
                <w:sz w:val="18"/>
              </w:rPr>
              <w:t>第9期の見込み（人／月）</w:t>
            </w:r>
          </w:p>
        </w:tc>
        <w:tc>
          <w:tcPr>
            <w:tcW w:type="dxa" w:w="1440"/>
          </w:tcPr>
          <w:p>
            <w:r/>
            <w:r>
              <w:rPr>
                <w:rFonts w:ascii="游ゴシック" w:hAnsi="游ゴシック" w:eastAsia="游ゴシック"/>
                <w:b/>
                <w:sz w:val="18"/>
              </w:rPr>
              <w:t>令和7年度実績（人／月）</w:t>
            </w:r>
          </w:p>
        </w:tc>
        <w:tc>
          <w:tcPr>
            <w:tcW w:type="dxa" w:w="1440"/>
          </w:tcPr>
          <w:p>
            <w:r/>
            <w:r>
              <w:rPr>
                <w:rFonts w:ascii="游ゴシック" w:hAnsi="游ゴシック" w:eastAsia="游ゴシック"/>
                <w:b/>
                <w:sz w:val="18"/>
              </w:rPr>
              <w:t>見込み給付費（千円）</w:t>
            </w:r>
          </w:p>
        </w:tc>
        <w:tc>
          <w:tcPr>
            <w:tcW w:type="dxa" w:w="1440"/>
          </w:tcPr>
          <w:p>
            <w:r/>
            <w:r>
              <w:rPr>
                <w:rFonts w:ascii="游ゴシック" w:hAnsi="游ゴシック" w:eastAsia="游ゴシック"/>
                <w:b/>
                <w:sz w:val="18"/>
              </w:rPr>
              <w:t>令和7年度実績（千円）</w:t>
            </w:r>
          </w:p>
        </w:tc>
        <w:tc>
          <w:tcPr>
            <w:tcW w:type="dxa" w:w="1440"/>
          </w:tcPr>
          <w:p>
            <w:r/>
            <w:r>
              <w:rPr>
                <w:rFonts w:ascii="游ゴシック" w:hAnsi="游ゴシック" w:eastAsia="游ゴシック"/>
                <w:b/>
                <w:sz w:val="18"/>
              </w:rPr>
              <w:t>評価</w:t>
            </w:r>
          </w:p>
        </w:tc>
      </w:tr>
      <w:tr>
        <w:tc>
          <w:tcPr>
            <w:tcW w:type="dxa" w:w="1440"/>
          </w:tcPr>
          <w:p>
            <w:r/>
            <w:r>
              <w:rPr>
                <w:sz w:val="18"/>
              </w:rPr>
              <w:t>介護老人福祉施設</w:t>
            </w:r>
          </w:p>
        </w:tc>
        <w:tc>
          <w:tcPr>
            <w:tcW w:type="dxa" w:w="1440"/>
          </w:tcPr>
          <w:p>
            <w:r/>
            <w:r>
              <w:rPr>
                <w:sz w:val="18"/>
              </w:rPr>
              <w:t>62</w:t>
            </w:r>
          </w:p>
        </w:tc>
        <w:tc>
          <w:tcPr>
            <w:tcW w:type="dxa" w:w="1440"/>
          </w:tcPr>
          <w:p>
            <w:r/>
            <w:r>
              <w:rPr>
                <w:sz w:val="18"/>
              </w:rPr>
              <w:t>68.9</w:t>
            </w:r>
          </w:p>
        </w:tc>
        <w:tc>
          <w:tcPr>
            <w:tcW w:type="dxa" w:w="1440"/>
          </w:tcPr>
          <w:p>
            <w:r/>
            <w:r>
              <w:rPr>
                <w:sz w:val="18"/>
              </w:rPr>
              <w:t>187,243</w:t>
            </w:r>
          </w:p>
        </w:tc>
        <w:tc>
          <w:tcPr>
            <w:tcW w:type="dxa" w:w="1440"/>
          </w:tcPr>
          <w:p>
            <w:r/>
            <w:r>
              <w:rPr>
                <w:sz w:val="18"/>
              </w:rPr>
              <w:t>204,850</w:t>
            </w:r>
          </w:p>
        </w:tc>
        <w:tc>
          <w:tcPr>
            <w:tcW w:type="dxa" w:w="1440"/>
          </w:tcPr>
          <w:p>
            <w:r/>
            <w:r>
              <w:rPr>
                <w:sz w:val="18"/>
              </w:rPr>
              <w:t>受給者数は見込みを上回り、給付費も9.4％上回った</w:t>
            </w:r>
          </w:p>
        </w:tc>
      </w:tr>
      <w:tr>
        <w:tc>
          <w:tcPr>
            <w:tcW w:type="dxa" w:w="1440"/>
          </w:tcPr>
          <w:p>
            <w:r/>
            <w:r>
              <w:rPr>
                <w:sz w:val="18"/>
              </w:rPr>
              <w:t>介護老人保健施設</w:t>
            </w:r>
          </w:p>
        </w:tc>
        <w:tc>
          <w:tcPr>
            <w:tcW w:type="dxa" w:w="1440"/>
          </w:tcPr>
          <w:p>
            <w:r/>
            <w:r>
              <w:rPr>
                <w:sz w:val="18"/>
              </w:rPr>
              <w:t>24</w:t>
            </w:r>
          </w:p>
        </w:tc>
        <w:tc>
          <w:tcPr>
            <w:tcW w:type="dxa" w:w="1440"/>
          </w:tcPr>
          <w:p>
            <w:r/>
            <w:r>
              <w:rPr>
                <w:sz w:val="18"/>
              </w:rPr>
              <w:t>28.6</w:t>
            </w:r>
          </w:p>
        </w:tc>
        <w:tc>
          <w:tcPr>
            <w:tcW w:type="dxa" w:w="1440"/>
          </w:tcPr>
          <w:p>
            <w:r/>
            <w:r>
              <w:rPr>
                <w:sz w:val="18"/>
              </w:rPr>
              <w:t>81,076</w:t>
            </w:r>
          </w:p>
        </w:tc>
        <w:tc>
          <w:tcPr>
            <w:tcW w:type="dxa" w:w="1440"/>
          </w:tcPr>
          <w:p>
            <w:r/>
            <w:r>
              <w:rPr>
                <w:sz w:val="18"/>
              </w:rPr>
              <w:t>92,523</w:t>
            </w:r>
          </w:p>
        </w:tc>
        <w:tc>
          <w:tcPr>
            <w:tcW w:type="dxa" w:w="1440"/>
          </w:tcPr>
          <w:p>
            <w:r/>
            <w:r>
              <w:rPr>
                <w:sz w:val="18"/>
              </w:rPr>
              <w:t>受給者数・給付費とも見込みを上回った</w:t>
            </w:r>
          </w:p>
        </w:tc>
      </w:tr>
      <w:tr>
        <w:tc>
          <w:tcPr>
            <w:tcW w:type="dxa" w:w="1440"/>
          </w:tcPr>
          <w:p>
            <w:r/>
            <w:r>
              <w:rPr>
                <w:sz w:val="18"/>
              </w:rPr>
              <w:t>介護医療院</w:t>
            </w:r>
          </w:p>
        </w:tc>
        <w:tc>
          <w:tcPr>
            <w:tcW w:type="dxa" w:w="1440"/>
          </w:tcPr>
          <w:p>
            <w:r/>
            <w:r>
              <w:rPr>
                <w:sz w:val="18"/>
              </w:rPr>
              <w:t>0</w:t>
            </w:r>
          </w:p>
        </w:tc>
        <w:tc>
          <w:tcPr>
            <w:tcW w:type="dxa" w:w="1440"/>
          </w:tcPr>
          <w:p>
            <w:r/>
            <w:r>
              <w:rPr>
                <w:sz w:val="18"/>
              </w:rPr>
              <w:t>1.2</w:t>
            </w:r>
          </w:p>
        </w:tc>
        <w:tc>
          <w:tcPr>
            <w:tcW w:type="dxa" w:w="1440"/>
          </w:tcPr>
          <w:p>
            <w:r/>
            <w:r>
              <w:rPr>
                <w:sz w:val="18"/>
              </w:rPr>
              <w:t>0</w:t>
            </w:r>
          </w:p>
        </w:tc>
        <w:tc>
          <w:tcPr>
            <w:tcW w:type="dxa" w:w="1440"/>
          </w:tcPr>
          <w:p>
            <w:r/>
            <w:r>
              <w:rPr>
                <w:sz w:val="18"/>
              </w:rPr>
              <w:t>4,310</w:t>
            </w:r>
          </w:p>
        </w:tc>
        <w:tc>
          <w:tcPr>
            <w:tcW w:type="dxa" w:w="1440"/>
          </w:tcPr>
          <w:p>
            <w:r/>
            <w:r>
              <w:rPr>
                <w:sz w:val="18"/>
              </w:rPr>
              <w:t>**見込み0人に対して実績がある。第10期では計上を要する**</w:t>
            </w:r>
          </w:p>
        </w:tc>
      </w:tr>
      <w:tr>
        <w:tc>
          <w:tcPr>
            <w:tcW w:type="dxa" w:w="1440"/>
          </w:tcPr>
          <w:p>
            <w:r/>
            <w:r>
              <w:rPr>
                <w:sz w:val="18"/>
              </w:rPr>
              <w:t>介護療養型医療施設</w:t>
            </w:r>
          </w:p>
        </w:tc>
        <w:tc>
          <w:tcPr>
            <w:tcW w:type="dxa" w:w="1440"/>
          </w:tcPr>
          <w:p>
            <w:r/>
            <w:r>
              <w:rPr>
                <w:sz w:val="18"/>
              </w:rPr>
              <w:t>―</w:t>
            </w:r>
          </w:p>
        </w:tc>
        <w:tc>
          <w:tcPr>
            <w:tcW w:type="dxa" w:w="1440"/>
          </w:tcPr>
          <w:p>
            <w:r/>
            <w:r>
              <w:rPr>
                <w:sz w:val="18"/>
              </w:rPr>
              <w:t>0.0</w:t>
            </w:r>
          </w:p>
        </w:tc>
        <w:tc>
          <w:tcPr>
            <w:tcW w:type="dxa" w:w="1440"/>
          </w:tcPr>
          <w:p>
            <w:r/>
            <w:r>
              <w:rPr>
                <w:sz w:val="18"/>
              </w:rPr>
              <w:t>―</w:t>
            </w:r>
          </w:p>
        </w:tc>
        <w:tc>
          <w:tcPr>
            <w:tcW w:type="dxa" w:w="1440"/>
          </w:tcPr>
          <w:p>
            <w:r/>
            <w:r>
              <w:rPr>
                <w:sz w:val="18"/>
              </w:rPr>
              <w:t>0</w:t>
            </w:r>
          </w:p>
        </w:tc>
        <w:tc>
          <w:tcPr>
            <w:tcW w:type="dxa" w:w="1440"/>
          </w:tcPr>
          <w:p>
            <w:r/>
            <w:r>
              <w:rPr>
                <w:sz w:val="18"/>
              </w:rPr>
              <w:t>令和5年度末で制度廃止。実績0で整合</w:t>
            </w:r>
          </w:p>
        </w:tc>
      </w:tr>
      <w:tr>
        <w:tc>
          <w:tcPr>
            <w:tcW w:type="dxa" w:w="1440"/>
          </w:tcPr>
          <w:p>
            <w:r/>
            <w:r>
              <w:rPr>
                <w:sz w:val="18"/>
              </w:rPr>
              <w:t>地域密着型介護老人福祉施設</w:t>
            </w:r>
          </w:p>
        </w:tc>
        <w:tc>
          <w:tcPr>
            <w:tcW w:type="dxa" w:w="1440"/>
          </w:tcPr>
          <w:p>
            <w:r/>
            <w:r>
              <w:rPr>
                <w:sz w:val="18"/>
              </w:rPr>
              <w:t>―</w:t>
            </w:r>
          </w:p>
        </w:tc>
        <w:tc>
          <w:tcPr>
            <w:tcW w:type="dxa" w:w="1440"/>
          </w:tcPr>
          <w:p>
            <w:r/>
            <w:r>
              <w:rPr>
                <w:sz w:val="18"/>
              </w:rPr>
              <w:t>41.3</w:t>
            </w:r>
          </w:p>
        </w:tc>
        <w:tc>
          <w:tcPr>
            <w:tcW w:type="dxa" w:w="1440"/>
          </w:tcPr>
          <w:p>
            <w:r/>
            <w:r>
              <w:rPr>
                <w:sz w:val="18"/>
              </w:rPr>
              <w:t>―</w:t>
            </w:r>
          </w:p>
        </w:tc>
        <w:tc>
          <w:tcPr>
            <w:tcW w:type="dxa" w:w="1440"/>
          </w:tcPr>
          <w:p>
            <w:r/>
            <w:r>
              <w:rPr>
                <w:sz w:val="18"/>
              </w:rPr>
              <w:t>126,350</w:t>
            </w:r>
          </w:p>
        </w:tc>
        <w:tc>
          <w:tcPr>
            <w:tcW w:type="dxa" w:w="1440"/>
          </w:tcPr>
          <w:p>
            <w:r/>
            <w:r>
              <w:rPr>
                <w:sz w:val="18"/>
              </w:rPr>
              <w:t>町内施設。**定員は令和2年度に29人から58人へ増えており、受給者41.3人／月は定員内である**（見える化Ｄ25）</w:t>
            </w:r>
          </w:p>
        </w:tc>
      </w:tr>
    </w:tbl>
    <w:p>
      <w:r>
        <w:t>**町内の定員は、介護老人福祉施設54人、地域密着型介護老人福祉施設58人、認知症対応型共同生活介護98人である**（見える化システムＤ25・Ｄ26、令和7年度）。介護老人福祉施設は受給者68.9人／月が定員54人を14.9人上回っており、この差が町外の施設の利用にあたる。介護老人保健施設は町内に施設がなく、受給者28.6人／月はすべて町外である。</w:t>
      </w:r>
    </w:p>
    <w:p>
      <w:r>
        <w:rPr>
          <w:i/>
          <w:sz w:val="18"/>
        </w:rPr>
        <w:t>※ 実績の人数は年報 様式1の6の年間延べ受給者数を12で除したもの。給付費は年報 様式2による。施設サービス全体の給付費は令和7年度301,682千円であり、地域密着型介護老人福祉施設126,350千円を加えると428,032千円となる。</w:t>
      </w:r>
    </w:p>
    <w:p>
      <w:pPr>
        <w:sectPr>
          <w:pgSz w:w="12240" w:h="15840"/>
          <w:pgMar w:top="1440" w:right="1800" w:bottom="1440" w:left="1800" w:header="720" w:footer="720" w:gutter="0"/>
          <w:cols w:space="720"/>
          <w:docGrid w:linePitch="360"/>
        </w:sectPr>
      </w:pPr>
    </w:p>
    <w:p>
      <w:pPr>
        <w:pStyle w:val="Heading1"/>
      </w:pPr>
      <w:r>
        <w:t>7　第10期の見込みへの反映</w:t>
      </w:r>
    </w:p>
    <w:p>
      <w:r>
        <w:t>以上を踏まえ、第10期の見込みは次の方針で組む。</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論点</w:t>
            </w:r>
          </w:p>
        </w:tc>
        <w:tc>
          <w:tcPr>
            <w:tcW w:type="dxa" w:w="2160"/>
          </w:tcPr>
          <w:p>
            <w:r/>
            <w:r>
              <w:rPr>
                <w:rFonts w:ascii="游ゴシック" w:hAnsi="游ゴシック" w:eastAsia="游ゴシック"/>
                <w:b/>
                <w:sz w:val="18"/>
              </w:rPr>
              <w:t>第9期の扱い</w:t>
            </w:r>
          </w:p>
        </w:tc>
        <w:tc>
          <w:tcPr>
            <w:tcW w:type="dxa" w:w="2160"/>
          </w:tcPr>
          <w:p>
            <w:r/>
            <w:r>
              <w:rPr>
                <w:rFonts w:ascii="游ゴシック" w:hAnsi="游ゴシック" w:eastAsia="游ゴシック"/>
                <w:b/>
                <w:sz w:val="18"/>
              </w:rPr>
              <w:t>第10期の方針</w:t>
            </w:r>
          </w:p>
        </w:tc>
        <w:tc>
          <w:tcPr>
            <w:tcW w:type="dxa" w:w="2160"/>
          </w:tcPr>
          <w:p>
            <w:r/>
            <w:r>
              <w:rPr>
                <w:rFonts w:ascii="游ゴシック" w:hAnsi="游ゴシック" w:eastAsia="游ゴシック"/>
                <w:b/>
                <w:sz w:val="18"/>
              </w:rPr>
              <w:t>根拠</w:t>
            </w:r>
          </w:p>
        </w:tc>
      </w:tr>
      <w:tr>
        <w:tc>
          <w:tcPr>
            <w:tcW w:type="dxa" w:w="2160"/>
          </w:tcPr>
          <w:p>
            <w:r/>
            <w:r>
              <w:rPr>
                <w:sz w:val="18"/>
              </w:rPr>
              <w:t>推計の基礎</w:t>
            </w:r>
          </w:p>
        </w:tc>
        <w:tc>
          <w:tcPr>
            <w:tcW w:type="dxa" w:w="2160"/>
          </w:tcPr>
          <w:p>
            <w:r/>
            <w:r>
              <w:rPr>
                <w:sz w:val="18"/>
              </w:rPr>
              <w:t>認定者数×1人当たり給付費</w:t>
            </w:r>
          </w:p>
        </w:tc>
        <w:tc>
          <w:tcPr>
            <w:tcW w:type="dxa" w:w="2160"/>
          </w:tcPr>
          <w:p>
            <w:r/>
            <w:r>
              <w:rPr>
                <w:sz w:val="18"/>
              </w:rPr>
              <w:t>**第1号被保険者数×サービス別利用率**</w:t>
            </w:r>
          </w:p>
        </w:tc>
        <w:tc>
          <w:tcPr>
            <w:tcW w:type="dxa" w:w="2160"/>
          </w:tcPr>
          <w:p>
            <w:r/>
            <w:r>
              <w:rPr>
                <w:sz w:val="18"/>
              </w:rPr>
              <w:t>令和3〜7年度で給付件数総計を各分母で割ったときの変動係数は、第1号被保険者数1.63％、認定者数5.18％。認定者数は令和7年9月の計上変更で断層がある</w:t>
            </w:r>
          </w:p>
        </w:tc>
      </w:tr>
      <w:tr>
        <w:tc>
          <w:tcPr>
            <w:tcW w:type="dxa" w:w="2160"/>
          </w:tcPr>
          <w:p>
            <w:r/>
            <w:r>
              <w:rPr>
                <w:sz w:val="18"/>
              </w:rPr>
              <w:t>基準年度</w:t>
            </w:r>
          </w:p>
        </w:tc>
        <w:tc>
          <w:tcPr>
            <w:tcW w:type="dxa" w:w="2160"/>
          </w:tcPr>
          <w:p>
            <w:r/>
            <w:r>
              <w:rPr>
                <w:sz w:val="18"/>
              </w:rPr>
              <w:t>直近年度</w:t>
            </w:r>
          </w:p>
        </w:tc>
        <w:tc>
          <w:tcPr>
            <w:tcW w:type="dxa" w:w="2160"/>
          </w:tcPr>
          <w:p>
            <w:r/>
            <w:r>
              <w:rPr>
                <w:sz w:val="18"/>
              </w:rPr>
              <w:t>令和5〜7年度の3年平均</w:t>
            </w:r>
          </w:p>
        </w:tc>
        <w:tc>
          <w:tcPr>
            <w:tcW w:type="dxa" w:w="2160"/>
          </w:tcPr>
          <w:p>
            <w:r/>
            <w:r>
              <w:rPr>
                <w:sz w:val="18"/>
              </w:rPr>
              <w:t>令和7年度単年で置くと計上変更の影響をそのまま将来に持ち越す</w:t>
            </w:r>
          </w:p>
        </w:tc>
      </w:tr>
      <w:tr>
        <w:tc>
          <w:tcPr>
            <w:tcW w:type="dxa" w:w="2160"/>
          </w:tcPr>
          <w:p>
            <w:r/>
            <w:r>
              <w:rPr>
                <w:sz w:val="18"/>
              </w:rPr>
              <w:t>報酬改定</w:t>
            </w:r>
          </w:p>
        </w:tc>
        <w:tc>
          <w:tcPr>
            <w:tcW w:type="dxa" w:w="2160"/>
          </w:tcPr>
          <w:p>
            <w:r/>
            <w:r>
              <w:rPr>
                <w:sz w:val="18"/>
              </w:rPr>
              <w:t>改定を織り込まず</w:t>
            </w:r>
          </w:p>
        </w:tc>
        <w:tc>
          <w:tcPr>
            <w:tcW w:type="dxa" w:w="2160"/>
          </w:tcPr>
          <w:p>
            <w:r/>
            <w:r>
              <w:rPr>
                <w:sz w:val="18"/>
              </w:rPr>
              <w:t>令和9年度改定は0.0％で仮置きし、±1.5％の感度を併記</w:t>
            </w:r>
          </w:p>
        </w:tc>
        <w:tc>
          <w:tcPr>
            <w:tcW w:type="dxa" w:w="2160"/>
          </w:tcPr>
          <w:p>
            <w:r/>
            <w:r>
              <w:rPr>
                <w:sz w:val="18"/>
              </w:rPr>
              <w:t>次期改定は令和9年度。率は令和8年12月頃に決まる</w:t>
            </w:r>
          </w:p>
        </w:tc>
      </w:tr>
      <w:tr>
        <w:tc>
          <w:tcPr>
            <w:tcW w:type="dxa" w:w="2160"/>
          </w:tcPr>
          <w:p>
            <w:r/>
            <w:r>
              <w:rPr>
                <w:sz w:val="18"/>
              </w:rPr>
              <w:t>特定入所者介護サービス費</w:t>
            </w:r>
          </w:p>
        </w:tc>
        <w:tc>
          <w:tcPr>
            <w:tcW w:type="dxa" w:w="2160"/>
          </w:tcPr>
          <w:p>
            <w:r/>
            <w:r>
              <w:rPr>
                <w:sz w:val="18"/>
              </w:rPr>
              <w:t>逓減で見込み（実績は増加基調）</w:t>
            </w:r>
          </w:p>
        </w:tc>
        <w:tc>
          <w:tcPr>
            <w:tcW w:type="dxa" w:w="2160"/>
          </w:tcPr>
          <w:p>
            <w:r/>
            <w:r>
              <w:rPr>
                <w:sz w:val="18"/>
              </w:rPr>
              <w:t>総給付費に対する比率（令和5〜7年度平均）で置く</w:t>
            </w:r>
          </w:p>
        </w:tc>
        <w:tc>
          <w:tcPr>
            <w:tcW w:type="dxa" w:w="2160"/>
          </w:tcPr>
          <w:p>
            <w:r/>
            <w:r>
              <w:rPr>
                <w:sz w:val="18"/>
              </w:rPr>
              <w:t>第9期は横ばい〜逓減で見込んだが、実績は令和6年度52,990千円まで増えた</w:t>
            </w:r>
          </w:p>
        </w:tc>
      </w:tr>
      <w:tr>
        <w:tc>
          <w:tcPr>
            <w:tcW w:type="dxa" w:w="2160"/>
          </w:tcPr>
          <w:p>
            <w:r/>
            <w:r>
              <w:rPr>
                <w:sz w:val="18"/>
              </w:rPr>
              <w:t>施設整備</w:t>
            </w:r>
          </w:p>
        </w:tc>
        <w:tc>
          <w:tcPr>
            <w:tcW w:type="dxa" w:w="2160"/>
          </w:tcPr>
          <w:p>
            <w:r/>
            <w:r>
              <w:rPr>
                <w:sz w:val="18"/>
              </w:rPr>
              <w:t>新規整備を原則行わない</w:t>
            </w:r>
          </w:p>
        </w:tc>
        <w:tc>
          <w:tcPr>
            <w:tcW w:type="dxa" w:w="2160"/>
          </w:tcPr>
          <w:p>
            <w:r/>
            <w:r>
              <w:rPr>
                <w:sz w:val="18"/>
              </w:rPr>
              <w:t>同方針を継続する場合と、整備がある場合を分けて示す</w:t>
            </w:r>
          </w:p>
        </w:tc>
        <w:tc>
          <w:tcPr>
            <w:tcW w:type="dxa" w:w="2160"/>
          </w:tcPr>
          <w:p>
            <w:r/>
            <w:r>
              <w:rPr>
                <w:sz w:val="18"/>
              </w:rPr>
              <w:t>第9期は原則整備なしとしながら、認知症対応型共同生活介護の定員が令和4年度71人から令和6年度98人へ増えている。整合の整理を要する</w:t>
            </w:r>
          </w:p>
        </w:tc>
      </w:tr>
      <w:tr>
        <w:tc>
          <w:tcPr>
            <w:tcW w:type="dxa" w:w="2160"/>
          </w:tcPr>
          <w:p>
            <w:r/>
            <w:r>
              <w:rPr>
                <w:sz w:val="18"/>
              </w:rPr>
              <w:t>基金の取崩</w:t>
            </w:r>
          </w:p>
        </w:tc>
        <w:tc>
          <w:tcPr>
            <w:tcW w:type="dxa" w:w="2160"/>
          </w:tcPr>
          <w:p>
            <w:r/>
            <w:r>
              <w:rPr>
                <w:sz w:val="18"/>
              </w:rPr>
              <w:t>3年間で35,000千円</w:t>
            </w:r>
          </w:p>
        </w:tc>
        <w:tc>
          <w:tcPr>
            <w:tcW w:type="dxa" w:w="2160"/>
          </w:tcPr>
          <w:p>
            <w:r/>
            <w:r>
              <w:rPr>
                <w:sz w:val="18"/>
              </w:rPr>
              <w:t>基金残高の確認結果を待って設定する</w:t>
            </w:r>
          </w:p>
        </w:tc>
        <w:tc>
          <w:tcPr>
            <w:tcW w:type="dxa" w:w="2160"/>
          </w:tcPr>
          <w:p>
            <w:r/>
            <w:r>
              <w:rPr>
                <w:sz w:val="18"/>
              </w:rPr>
              <w:t>**保有額12,000千円に対し35,000千円の取崩は実行できない。残高の確認が第10期の保険料算定の前提となる**</w:t>
            </w:r>
          </w:p>
        </w:tc>
      </w:tr>
    </w:tbl>
    <w:p/>
    <w:p>
      <w:r>
        <w:t>本方針による第10期（令和9〜11年度）の総給付費の試算は、3年計で3,043,066千円である。第9期の総給付費見込み（3年計3,329,741千円）に対して91.4％の水準となる。詳細は「小野町_第10期_サービス別単価・見込量試算」を参照。</w:t>
      </w:r>
    </w:p>
    <w:p>
      <w:pPr>
        <w:pStyle w:val="Heading1"/>
      </w:pPr>
      <w:r>
        <w:t>8　残る確認事項</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w:t>
            </w:r>
          </w:p>
        </w:tc>
        <w:tc>
          <w:tcPr>
            <w:tcW w:type="dxa" w:w="2160"/>
          </w:tcPr>
          <w:p>
            <w:r/>
            <w:r>
              <w:rPr>
                <w:rFonts w:ascii="游ゴシック" w:hAnsi="游ゴシック" w:eastAsia="游ゴシック"/>
                <w:b/>
                <w:sz w:val="18"/>
              </w:rPr>
              <w:t>確認事項</w:t>
            </w:r>
          </w:p>
        </w:tc>
        <w:tc>
          <w:tcPr>
            <w:tcW w:type="dxa" w:w="2160"/>
          </w:tcPr>
          <w:p>
            <w:r/>
            <w:r>
              <w:rPr>
                <w:rFonts w:ascii="游ゴシック" w:hAnsi="游ゴシック" w:eastAsia="游ゴシック"/>
                <w:b/>
                <w:sz w:val="18"/>
              </w:rPr>
              <w:t>宛先</w:t>
            </w:r>
          </w:p>
        </w:tc>
        <w:tc>
          <w:tcPr>
            <w:tcW w:type="dxa" w:w="2160"/>
          </w:tcPr>
          <w:p>
            <w:r/>
            <w:r>
              <w:rPr>
                <w:rFonts w:ascii="游ゴシック" w:hAnsi="游ゴシック" w:eastAsia="游ゴシック"/>
                <w:b/>
                <w:sz w:val="18"/>
              </w:rPr>
              <w:t>第10期への影響</w:t>
            </w:r>
          </w:p>
        </w:tc>
      </w:tr>
      <w:tr>
        <w:tc>
          <w:tcPr>
            <w:tcW w:type="dxa" w:w="2160"/>
          </w:tcPr>
          <w:p>
            <w:r/>
            <w:r>
              <w:rPr>
                <w:sz w:val="18"/>
              </w:rPr>
              <w:t>1</w:t>
            </w:r>
          </w:p>
        </w:tc>
        <w:tc>
          <w:tcPr>
            <w:tcW w:type="dxa" w:w="2160"/>
          </w:tcPr>
          <w:p>
            <w:r/>
            <w:r>
              <w:rPr>
                <w:sz w:val="18"/>
              </w:rPr>
              <w:t>令和7年8〜9月の認定者数の計上方法の変更の有無（町外施設入所者の帰属、住所地特例、国保連の集計定義）</w:t>
            </w:r>
          </w:p>
        </w:tc>
        <w:tc>
          <w:tcPr>
            <w:tcW w:type="dxa" w:w="2160"/>
          </w:tcPr>
          <w:p>
            <w:r/>
            <w:r>
              <w:rPr>
                <w:sz w:val="18"/>
              </w:rPr>
              <w:t>町・国保連</w:t>
            </w:r>
          </w:p>
        </w:tc>
        <w:tc>
          <w:tcPr>
            <w:tcW w:type="dxa" w:w="2160"/>
          </w:tcPr>
          <w:p>
            <w:r/>
            <w:r>
              <w:rPr>
                <w:sz w:val="18"/>
              </w:rPr>
              <w:t>**基準年度の扱いが決まる。第10期の見込量の水準を左右する**</w:t>
            </w:r>
          </w:p>
        </w:tc>
      </w:tr>
      <w:tr>
        <w:tc>
          <w:tcPr>
            <w:tcW w:type="dxa" w:w="2160"/>
          </w:tcPr>
          <w:p>
            <w:r/>
            <w:r>
              <w:rPr>
                <w:sz w:val="18"/>
              </w:rPr>
              <w:t>2</w:t>
            </w:r>
          </w:p>
        </w:tc>
        <w:tc>
          <w:tcPr>
            <w:tcW w:type="dxa" w:w="2160"/>
          </w:tcPr>
          <w:p>
            <w:r/>
            <w:r>
              <w:rPr>
                <w:sz w:val="18"/>
              </w:rPr>
              <w:t>介護給付費準備基金の残高と取崩実績（令和4年度末120,000千円→令和5・6年度末12,000千円）</w:t>
            </w:r>
          </w:p>
        </w:tc>
        <w:tc>
          <w:tcPr>
            <w:tcW w:type="dxa" w:w="2160"/>
          </w:tcPr>
          <w:p>
            <w:r/>
            <w:r>
              <w:rPr>
                <w:sz w:val="18"/>
              </w:rPr>
              <w:t>町（財政）</w:t>
            </w:r>
          </w:p>
        </w:tc>
        <w:tc>
          <w:tcPr>
            <w:tcW w:type="dxa" w:w="2160"/>
          </w:tcPr>
          <w:p>
            <w:r/>
            <w:r>
              <w:rPr>
                <w:sz w:val="18"/>
              </w:rPr>
              <w:t>**保険料基準額を直接左右する**</w:t>
            </w:r>
          </w:p>
        </w:tc>
      </w:tr>
      <w:tr>
        <w:tc>
          <w:tcPr>
            <w:tcW w:type="dxa" w:w="2160"/>
          </w:tcPr>
          <w:p>
            <w:r/>
            <w:r>
              <w:rPr>
                <w:sz w:val="18"/>
              </w:rPr>
              <w:t>3</w:t>
            </w:r>
          </w:p>
        </w:tc>
        <w:tc>
          <w:tcPr>
            <w:tcW w:type="dxa" w:w="2160"/>
          </w:tcPr>
          <w:p>
            <w:r/>
            <w:r>
              <w:rPr>
                <w:sz w:val="18"/>
              </w:rPr>
              <w:t>令和6・7年度の地域支援事業費の決算額と事業別内訳</w:t>
            </w:r>
          </w:p>
        </w:tc>
        <w:tc>
          <w:tcPr>
            <w:tcW w:type="dxa" w:w="2160"/>
          </w:tcPr>
          <w:p>
            <w:r/>
            <w:r>
              <w:rPr>
                <w:sz w:val="18"/>
              </w:rPr>
              <w:t>町</w:t>
            </w:r>
          </w:p>
        </w:tc>
        <w:tc>
          <w:tcPr>
            <w:tcW w:type="dxa" w:w="2160"/>
          </w:tcPr>
          <w:p>
            <w:r/>
            <w:r>
              <w:rPr>
                <w:sz w:val="18"/>
              </w:rPr>
              <w:t>総費用額に加算する。3年計で約210,000千円の規模</w:t>
            </w:r>
          </w:p>
        </w:tc>
      </w:tr>
      <w:tr>
        <w:tc>
          <w:tcPr>
            <w:tcW w:type="dxa" w:w="2160"/>
          </w:tcPr>
          <w:p>
            <w:r/>
            <w:r>
              <w:rPr>
                <w:sz w:val="18"/>
              </w:rPr>
              <w:t>4</w:t>
            </w:r>
          </w:p>
        </w:tc>
        <w:tc>
          <w:tcPr>
            <w:tcW w:type="dxa" w:w="2160"/>
          </w:tcPr>
          <w:p>
            <w:r/>
            <w:r>
              <w:rPr>
                <w:sz w:val="18"/>
              </w:rPr>
              <w:t>令和7年度の介護保険特別会計決算（年報 様式4が未入力）</w:t>
            </w:r>
          </w:p>
        </w:tc>
        <w:tc>
          <w:tcPr>
            <w:tcW w:type="dxa" w:w="2160"/>
          </w:tcPr>
          <w:p>
            <w:r/>
            <w:r>
              <w:rPr>
                <w:sz w:val="18"/>
              </w:rPr>
              <w:t>町</w:t>
            </w:r>
          </w:p>
        </w:tc>
        <w:tc>
          <w:tcPr>
            <w:tcW w:type="dxa" w:w="2160"/>
          </w:tcPr>
          <w:p>
            <w:r/>
            <w:r>
              <w:rPr>
                <w:sz w:val="18"/>
              </w:rPr>
              <w:t>歳入歳出差引残額・繰越金の確定</w:t>
            </w:r>
          </w:p>
        </w:tc>
      </w:tr>
      <w:tr>
        <w:tc>
          <w:tcPr>
            <w:tcW w:type="dxa" w:w="2160"/>
          </w:tcPr>
          <w:p>
            <w:r/>
            <w:r>
              <w:rPr>
                <w:sz w:val="18"/>
              </w:rPr>
              <w:t>5</w:t>
            </w:r>
          </w:p>
        </w:tc>
        <w:tc>
          <w:tcPr>
            <w:tcW w:type="dxa" w:w="2160"/>
          </w:tcPr>
          <w:p>
            <w:r/>
            <w:r>
              <w:rPr>
                <w:sz w:val="18"/>
              </w:rPr>
              <w:t>審査支払手数料の実績（1件当たり単価）</w:t>
            </w:r>
          </w:p>
        </w:tc>
        <w:tc>
          <w:tcPr>
            <w:tcW w:type="dxa" w:w="2160"/>
          </w:tcPr>
          <w:p>
            <w:r/>
            <w:r>
              <w:rPr>
                <w:sz w:val="18"/>
              </w:rPr>
              <w:t>町・国保連</w:t>
            </w:r>
          </w:p>
        </w:tc>
        <w:tc>
          <w:tcPr>
            <w:tcW w:type="dxa" w:w="2160"/>
          </w:tcPr>
          <w:p>
            <w:r/>
            <w:r>
              <w:rPr>
                <w:sz w:val="18"/>
              </w:rPr>
              <w:t>標準給付費に約900千円／年で効く</w:t>
            </w:r>
          </w:p>
        </w:tc>
      </w:tr>
      <w:tr>
        <w:tc>
          <w:tcPr>
            <w:tcW w:type="dxa" w:w="2160"/>
          </w:tcPr>
          <w:p>
            <w:r/>
            <w:r>
              <w:rPr>
                <w:sz w:val="18"/>
              </w:rPr>
              <w:t>6</w:t>
            </w:r>
          </w:p>
        </w:tc>
        <w:tc>
          <w:tcPr>
            <w:tcW w:type="dxa" w:w="2160"/>
          </w:tcPr>
          <w:p>
            <w:r/>
            <w:r>
              <w:rPr>
                <w:sz w:val="18"/>
              </w:rPr>
              <w:t>国保連の給付実績（サービス提供量＝回数・日数）</w:t>
            </w:r>
          </w:p>
        </w:tc>
        <w:tc>
          <w:tcPr>
            <w:tcW w:type="dxa" w:w="2160"/>
          </w:tcPr>
          <w:p>
            <w:r/>
            <w:r>
              <w:rPr>
                <w:sz w:val="18"/>
              </w:rPr>
              <w:t>町・国保連</w:t>
            </w:r>
          </w:p>
        </w:tc>
        <w:tc>
          <w:tcPr>
            <w:tcW w:type="dxa" w:w="2160"/>
          </w:tcPr>
          <w:p>
            <w:r/>
            <w:r>
              <w:rPr>
                <w:sz w:val="18"/>
              </w:rPr>
              <w:t>**計画書の見込量表を回数・日数で書くために必要**</w:t>
            </w:r>
          </w:p>
        </w:tc>
      </w:tr>
    </w:tbl>
    <w:p>
      <w:r>
        <w:rPr>
          <w:i/>
          <w:sz w:val="18"/>
        </w:rPr>
        <w:t>※ 本文書は令和8年9月14日時点の受領データによる。令和8年度の実績は令和9年夏の年報公表後に追記する。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