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18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明朝" w:cs="游明朝" w:eastAsia="游明朝" w:hAnsi="游明朝"/>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一般介護予防事業費が10年近く180万円前後で据置。通いの場は令和6年度で23か所281人、うち週1回以上は8か所123人（参加率12.2%）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残された弱点は2つです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430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支援交付金 目標Ⅱ（認知症総合支援）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32／100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全国平均を下回る唯一の目標。3か年で唯一、低下局面があった</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45／100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令和6年度65点→令和7年度70点→令和8年度45点と25点低下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目標Ⅳは村の申告ではなく、KDB等の統計から自動的に算定される領域です。得点の低下は、要介護度の維持・改善の実績そのものが悪化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明朝" w:cs="游明朝" w:eastAsia="游明朝" w:hAnsi="游明朝"/>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第9期の基本理念と基本目標（振り返り）</w:t>
      </w:r>
    </w:p>
    <w:p>
      <w:pPr>
        <w:spacing w:after="120" w:line="300"/>
      </w:pPr>
      <w:r>
        <w:rPr>
          <w:rFonts w:ascii="游明朝" w:cs="游明朝" w:eastAsia="游明朝" w:hAnsi="游明朝"/>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第10期の基本理念（案）</w:t>
      </w:r>
    </w:p>
    <w:p>
      <w:pPr>
        <w:spacing w:after="100" w:line="300"/>
      </w:pPr>
      <w:r>
        <w:rPr>
          <w:rFonts w:ascii="游ゴシック" w:cs="游ゴシック" w:eastAsia="游ゴシック" w:hAnsi="游ゴシック"/>
          <w:b/>
          <w:bCs/>
          <w:color w:val="2E75B6"/>
          <w:sz w:val="21"/>
          <w:szCs w:val="21"/>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明朝" w:cs="游明朝" w:eastAsia="游明朝" w:hAnsi="游明朝"/>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1"/>
          <w:szCs w:val="21"/>
        </w:rPr>
        <w:t xml:space="preserve">案B　基本理念を継承したうえで、副題を加える</w:t>
      </w:r>
    </w:p>
    <w:p>
      <w:pPr>
        <w:spacing w:after="120" w:line="300"/>
      </w:pPr>
      <w:r>
        <w:rPr>
          <w:rFonts w:ascii="游明朝" w:cs="游明朝" w:eastAsia="游明朝" w:hAnsi="游明朝"/>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1"/>
          <w:szCs w:val="21"/>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基本目標（案）</w:t>
      </w:r>
    </w:p>
    <w:p>
      <w:pPr>
        <w:spacing w:after="120" w:line="300"/>
      </w:pPr>
      <w:r>
        <w:rPr>
          <w:rFonts w:ascii="游明朝" w:cs="游明朝" w:eastAsia="游明朝" w:hAnsi="游明朝"/>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基本目標5を新設する理由</w:t>
      </w:r>
    </w:p>
    <w:p>
      <w:pPr>
        <w:spacing w:after="120" w:line="300"/>
      </w:pPr>
      <w:r>
        <w:rPr>
          <w:rFonts w:ascii="游明朝" w:cs="游明朝" w:eastAsia="游明朝" w:hAnsi="游明朝"/>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明朝" w:cs="游明朝" w:eastAsia="游明朝" w:hAnsi="游明朝"/>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1"/>
          <w:szCs w:val="21"/>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要支援1の認定者が6年間で3倍。総合事業の多様なサービスの創設、通いの場の再構築、一般介護予防事業の拡充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施策の体系（案）</w:t>
      </w:r>
    </w:p>
    <w:p>
      <w:pPr>
        <w:spacing w:after="120" w:line="300"/>
      </w:pPr>
      <w:r>
        <w:rPr>
          <w:rFonts w:ascii="游明朝" w:cs="游明朝" w:eastAsia="游明朝" w:hAnsi="游明朝"/>
          <w:sz w:val="21"/>
          <w:szCs w:val="21"/>
        </w:rPr>
        <w:t xml:space="preserve">5つの基本目標のもとに、28の施策を配置します。第9期は19施策でした。</w:t>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通いの場の再構築と参加率の向上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令和6年度は23か所281人・参加率12.2%。週1回以上の開催は8か所123人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第9期からの変更点</w:t>
      </w:r>
    </w:p>
    <w:p>
      <w:pPr>
        <w:spacing w:after="120" w:line="300"/>
      </w:pPr>
      <w:r>
        <w:rPr>
          <w:rFonts w:ascii="游明朝" w:cs="游明朝" w:eastAsia="游明朝" w:hAnsi="游明朝"/>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関連計画との整合</w:t>
      </w:r>
    </w:p>
    <w:p>
      <w:pPr>
        <w:spacing w:after="120" w:line="300"/>
      </w:pPr>
      <w:r>
        <w:rPr>
          <w:rFonts w:ascii="游明朝" w:cs="游明朝" w:eastAsia="游明朝" w:hAnsi="游明朝"/>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1"/>
          <w:szCs w:val="21"/>
        </w:rPr>
        <w:t xml:space="preserve">生涯学習推進計画との施策の重複について</w:t>
      </w:r>
    </w:p>
    <w:p>
      <w:pPr>
        <w:spacing w:after="120" w:line="300"/>
      </w:pPr>
      <w:r>
        <w:rPr>
          <w:rFonts w:ascii="游明朝" w:cs="游明朝" w:eastAsia="游明朝" w:hAnsi="游明朝"/>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明朝" w:cs="游明朝" w:eastAsia="游明朝" w:hAnsi="游明朝"/>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本資料は骨格です。数値は、国の推計ワークシートの提供（第10期基本指針の告示後）と、村の令和6・7年度実績の受領をもって確定します。本日は「考え方」についてご意見をいただきたく存じます。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明朝" w:cs="游明朝" w:eastAsia="游明朝" w:hAnsi="游明朝"/>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1"/>
          <w:szCs w:val="21"/>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954人に対し、実績（令和7年12月末の第1号被保険者数）は1,012人で、推計が実績を58人（5.7%）下回っています。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1"/>
          <w:szCs w:val="21"/>
        </w:rPr>
        <w:t xml:space="preserve">要支援・要介護認定者数の見通し</w:t>
      </w:r>
    </w:p>
    <w:p>
      <w:pPr>
        <w:spacing w:after="120" w:line="300"/>
      </w:pPr>
      <w:r>
        <w:rPr>
          <w:rFonts w:ascii="游明朝" w:cs="游明朝" w:eastAsia="游明朝" w:hAnsi="游明朝"/>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明朝" w:cs="游明朝" w:eastAsia="游明朝" w:hAnsi="游明朝"/>
          <w:sz w:val="21"/>
          <w:szCs w:val="21"/>
        </w:rPr>
        <w:t xml:space="preserve">B案（実績にリベース）と令和8年の認定率を用いた場合の推計は次のとおりです。基準年である令和8年は実績と一致します。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第1号被保険者数が令和8年から令和11年にかけて25人（2.5%）減るなかで、認定者数は9人（4.3%）増えます。後期高齢者の比率が52.0%から57.0%に上がるためです。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認定率の基準（令和8年の認定率か3か年平均か）と、第1号被保険者数のA案・B案の組み合わせにより、令和11年度の認定者数は208人から220人まで最大12人（5.8%）の幅があります。給付費に直結しますので、方針の確定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27のサービスについて、直近の実績をもとに見込み量を推計します。実績の状況は次のとおりです。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561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サービス数</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実績あり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継続して利用実績があるもの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過去のみ</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過去に実績があるが直近はないもの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計画期間を通じて実績がないもの</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実績なし」の4サービスを第10期計画に掲げるかどうかは、村のご判断が必要です。第9期は実績のないサービスも計画に掲げていましたが、「やること」と「やらないこと」を書き分け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骨格です。保険料の試算には国の推計ワークシートと介護給付費準備基金の残高が必要であり、いずれも未確定です。本日は「保険料をどう考えるか」の方向についてご意見をいただきたく存じ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保険料の複数案（案）</w:t>
      </w:r>
    </w:p>
    <w:p>
      <w:pPr>
        <w:spacing w:after="120" w:line="300"/>
      </w:pPr>
      <w:r>
        <w:rPr>
          <w:rFonts w:ascii="游明朝" w:cs="游明朝" w:eastAsia="游明朝" w:hAnsi="游明朝"/>
          <w:sz w:val="21"/>
          <w:szCs w:val="21"/>
        </w:rPr>
        <w:t xml:space="preserve">介護給付費準備基金の取崩しについて、3つの案をお示しします。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931"/>
        <w:gridCol w:w="2059"/>
        <w:gridCol w:w="262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基金を取り崩さない（給付費に応じた保険料）</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国の基本指針は、2040年を見据えた中長期的なサービス基盤・人的基盤の整備を求めています。本村では75歳以上人口が2030年にピークを迎えるため、第10期はその増加期にあたります。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2040年の給付費・保険料水準の見通しは、推計ワークシートの提供後に作成します。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通いの場の実績は、令和6年度介護予防・日常生活支援総合事業実施状況調査の値です。参加率12.2%は、第9期のアンケート調査による参加率11.2%とほぼ一致しています。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2026-09-16T01:52:20.052Z</dcterms:created>
  <dcterms:modified xsi:type="dcterms:W3CDTF">2026-09-16T01:52:20.052Z</dcterms:modified>
</cp:coreProperties>
</file>

<file path=docProps/custom.xml><?xml version="1.0" encoding="utf-8"?>
<Properties xmlns="http://schemas.openxmlformats.org/officeDocument/2006/custom-properties" xmlns:vt="http://schemas.openxmlformats.org/officeDocument/2006/docPropsVTypes"/>
</file>