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2">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spacing w:before="20" w:after="20"/>
            </w:pPr>
            <w:r>
              <w:rPr>
                <w:rFonts w:ascii="游ゴシック" w:hAnsi="游ゴシック" w:eastAsia="游ゴシック"/>
                <w:b w:val="0"/>
                <w:i w:val="0"/>
                <w:sz w:val="17"/>
              </w:rPr>
              <w:t>9</w:t>
            </w:r>
          </w:p>
        </w:tc>
        <w:tc>
          <w:tcPr>
            <w:tcW w:type="dxa" w:w="8957"/>
            <w:vAlign w:val="center"/>
          </w:tcPr>
          <w:p>
            <w:pPr>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（推進交付金の目標Ⅳと同一）</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spacing w:before="20" w:after="20"/>
            </w:pPr>
            <w:r>
              <w:rPr>
                <w:rFonts w:ascii="游ゴシック" w:hAnsi="游ゴシック" w:eastAsia="游ゴシック"/>
                <w:b/>
                <w:i w:val="0"/>
                <w:sz w:val="17"/>
              </w:rPr>
              <w:t>（ⅱ）活動</w:t>
            </w:r>
          </w:p>
        </w:tc>
        <w:tc>
          <w:tcPr>
            <w:tcW w:type="dxa" w:w="3447"/>
            <w:vAlign w:val="center"/>
          </w:tcPr>
          <w:p>
            <w:pPr>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spacing w:before="20" w:after="20"/>
            </w:pPr>
            <w:r>
              <w:rPr>
                <w:rFonts w:ascii="游ゴシック" w:hAnsi="游ゴシック" w:eastAsia="游ゴシック"/>
                <w:b w:val="0"/>
                <w:i w:val="0"/>
                <w:sz w:val="17"/>
              </w:rPr>
              <w:t>令和11年度</w:t>
            </w:r>
          </w:p>
        </w:tc>
        <w:tc>
          <w:tcPr>
            <w:tcW w:type="dxa" w:w="2894"/>
            <w:vAlign w:val="center"/>
          </w:tcPr>
          <w:p>
            <w:pPr>
              <w:spacing w:before="20" w:after="20"/>
            </w:pPr>
            <w:r>
              <w:rPr>
                <w:rFonts w:ascii="游ゴシック" w:hAnsi="游ゴシック" w:eastAsia="游ゴシック"/>
                <w:b w:val="0"/>
                <w:i w:val="0"/>
                <w:sz w:val="17"/>
              </w:rPr>
              <w:t>令和10年度</w:t>
            </w:r>
          </w:p>
        </w:tc>
        <w:tc>
          <w:tcPr>
            <w:tcW w:type="dxa" w:w="4540"/>
            <w:vAlign w:val="center"/>
          </w:tcPr>
          <w:p>
            <w:pPr>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keepNext/>
        <w:spacing w:before="240" w:after="100"/>
      </w:pPr>
      <w:bookmarkStart w:id="106" w:name="_Toc_006"/>
      <w:r>
        <w:rPr>
          <w:rFonts w:ascii="游ゴシック" w:hAnsi="游ゴシック" w:eastAsia="游ゴシック"/>
          <w:b/>
          <w:i w:val="0"/>
          <w:color w:val="2E74B5"/>
          <w:sz w:val="30"/>
        </w:rPr>
        <w:t>2　小野町の位置</w:t>
      </w:r>
      <w:bookmarkEnd w:id="106"/>
    </w:p>
    <w:p>
      <w:pPr>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spacing w:before="20" w:after="20"/>
            </w:pPr>
            <w:r>
              <w:rPr>
                <w:rFonts w:ascii="游ゴシック" w:hAnsi="游ゴシック" w:eastAsia="游ゴシック"/>
                <w:b w:val="0"/>
                <w:i w:val="0"/>
                <w:sz w:val="17"/>
              </w:rPr>
              <w:t>保険者機能強化推進交付金 計</w:t>
            </w:r>
          </w:p>
        </w:tc>
        <w:tc>
          <w:tcPr>
            <w:tcW w:type="dxa" w:w="1410"/>
            <w:vAlign w:val="center"/>
          </w:tcPr>
          <w:p>
            <w:pPr>
              <w:spacing w:before="20" w:after="20"/>
              <w:jc w:val="right"/>
            </w:pPr>
            <w:r>
              <w:rPr>
                <w:rFonts w:ascii="游ゴシック" w:hAnsi="游ゴシック" w:eastAsia="游ゴシック"/>
                <w:b/>
                <w:i w:val="0"/>
                <w:sz w:val="17"/>
              </w:rPr>
              <w:t>272点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229.3点</w:t>
            </w:r>
          </w:p>
        </w:tc>
        <w:tc>
          <w:tcPr>
            <w:tcW w:type="dxa" w:w="1773"/>
            <w:vAlign w:val="center"/>
          </w:tcPr>
          <w:p>
            <w:pPr>
              <w:spacing w:before="20" w:after="20"/>
              <w:jc w:val="right"/>
            </w:pPr>
            <w:r>
              <w:rPr>
                <w:rFonts w:ascii="游ゴシック" w:hAnsi="游ゴシック" w:eastAsia="游ゴシック"/>
                <w:b/>
                <w:i w:val="0"/>
                <w:sz w:val="17"/>
              </w:rPr>
              <w:t>306位／1,536</w:t>
            </w:r>
          </w:p>
        </w:tc>
        <w:tc>
          <w:tcPr>
            <w:tcW w:type="dxa" w:w="1541"/>
            <w:vAlign w:val="center"/>
          </w:tcPr>
          <w:p>
            <w:pPr>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spacing w:before="20" w:after="20"/>
            </w:pPr>
            <w:r>
              <w:rPr>
                <w:rFonts w:ascii="游ゴシック" w:hAnsi="游ゴシック" w:eastAsia="游ゴシック"/>
                <w:b w:val="0"/>
                <w:i w:val="0"/>
                <w:sz w:val="17"/>
              </w:rPr>
              <w:t>県内の第1四分位</w:t>
            </w:r>
          </w:p>
        </w:tc>
        <w:tc>
          <w:tcPr>
            <w:tcW w:type="dxa" w:w="4819"/>
            <w:vAlign w:val="center"/>
          </w:tcPr>
          <w:p>
            <w:pPr>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spacing w:before="20" w:after="20"/>
              <w:jc w:val="right"/>
            </w:pPr>
            <w:r>
              <w:rPr>
                <w:rFonts w:ascii="游ゴシック" w:hAnsi="游ゴシック" w:eastAsia="游ゴシック"/>
                <w:b/>
                <w:i w:val="0"/>
                <w:sz w:val="17"/>
              </w:rPr>
              <w:t>55点</w:t>
            </w:r>
          </w:p>
        </w:tc>
        <w:tc>
          <w:tcPr>
            <w:tcW w:type="dxa" w:w="1480"/>
            <w:vAlign w:val="center"/>
          </w:tcPr>
          <w:p>
            <w:pPr>
              <w:spacing w:before="20" w:after="20"/>
              <w:jc w:val="right"/>
            </w:pPr>
            <w:r>
              <w:rPr>
                <w:rFonts w:ascii="游ゴシック" w:hAnsi="游ゴシック" w:eastAsia="游ゴシック"/>
                <w:b w:val="0"/>
                <w:i w:val="0"/>
                <w:sz w:val="17"/>
              </w:rPr>
              <w:t>68.3点</w:t>
            </w:r>
          </w:p>
        </w:tc>
        <w:tc>
          <w:tcPr>
            <w:tcW w:type="dxa" w:w="1480"/>
            <w:vAlign w:val="center"/>
          </w:tcPr>
          <w:p>
            <w:pPr>
              <w:spacing w:before="20" w:after="20"/>
              <w:jc w:val="right"/>
            </w:pPr>
            <w:r>
              <w:rPr>
                <w:rFonts w:ascii="游ゴシック" w:hAnsi="游ゴシック" w:eastAsia="游ゴシック"/>
                <w:b w:val="0"/>
                <w:i w:val="0"/>
                <w:sz w:val="17"/>
              </w:rPr>
              <w:t>64.7点</w:t>
            </w:r>
          </w:p>
        </w:tc>
        <w:tc>
          <w:tcPr>
            <w:tcW w:type="dxa" w:w="1545"/>
            <w:vAlign w:val="center"/>
          </w:tcPr>
          <w:p>
            <w:pPr>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spacing w:before="20" w:after="20"/>
            </w:pPr>
            <w:r>
              <w:rPr>
                <w:rFonts w:ascii="游ゴシック" w:hAnsi="游ゴシック" w:eastAsia="游ゴシック"/>
                <w:b/>
                <w:i w:val="0"/>
                <w:sz w:val="17"/>
              </w:rPr>
              <w:t>成果指標群</w:t>
            </w:r>
          </w:p>
        </w:tc>
        <w:tc>
          <w:tcPr>
            <w:tcW w:type="dxa" w:w="1529"/>
            <w:vAlign w:val="center"/>
          </w:tcPr>
          <w:p>
            <w:pPr>
              <w:spacing w:before="20" w:after="20"/>
              <w:jc w:val="right"/>
            </w:pPr>
            <w:r>
              <w:rPr>
                <w:rFonts w:ascii="游ゴシック" w:hAnsi="游ゴシック" w:eastAsia="游ゴシック"/>
                <w:b/>
                <w:i w:val="0"/>
                <w:sz w:val="17"/>
              </w:rPr>
              <w:t>60点</w:t>
            </w:r>
          </w:p>
        </w:tc>
        <w:tc>
          <w:tcPr>
            <w:tcW w:type="dxa" w:w="1529"/>
            <w:vAlign w:val="center"/>
          </w:tcPr>
          <w:p>
            <w:pPr>
              <w:spacing w:before="20" w:after="20"/>
              <w:jc w:val="right"/>
            </w:pPr>
            <w:r>
              <w:rPr>
                <w:rFonts w:ascii="游ゴシック" w:hAnsi="游ゴシック" w:eastAsia="游ゴシック"/>
                <w:b w:val="0"/>
                <w:i w:val="0"/>
                <w:sz w:val="17"/>
              </w:rPr>
              <w:t>100点</w:t>
            </w:r>
          </w:p>
        </w:tc>
        <w:tc>
          <w:tcPr>
            <w:tcW w:type="dxa" w:w="1434"/>
            <w:vAlign w:val="center"/>
          </w:tcPr>
          <w:p>
            <w:pPr>
              <w:spacing w:before="20" w:after="20"/>
              <w:jc w:val="right"/>
            </w:pPr>
            <w:r>
              <w:rPr>
                <w:rFonts w:ascii="游ゴシック" w:hAnsi="游ゴシック" w:eastAsia="游ゴシック"/>
                <w:b/>
                <w:i w:val="0"/>
                <w:sz w:val="17"/>
              </w:rPr>
              <w:t>60％</w:t>
            </w:r>
          </w:p>
        </w:tc>
        <w:tc>
          <w:tcPr>
            <w:tcW w:type="dxa" w:w="1701"/>
            <w:vAlign w:val="center"/>
          </w:tcPr>
          <w:p>
            <w:pPr>
              <w:spacing w:before="20" w:after="20"/>
              <w:jc w:val="right"/>
            </w:pPr>
            <w:r>
              <w:rPr>
                <w:rFonts w:ascii="游ゴシック" w:hAnsi="游ゴシック" w:eastAsia="游ゴシック"/>
                <w:b w:val="0"/>
                <w:i w:val="0"/>
                <w:sz w:val="17"/>
              </w:rPr>
              <w:t>47.8点</w:t>
            </w:r>
          </w:p>
        </w:tc>
        <w:tc>
          <w:tcPr>
            <w:tcW w:type="dxa" w:w="1701"/>
            <w:vAlign w:val="center"/>
          </w:tcPr>
          <w:p>
            <w:pPr>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keepNext/>
        <w:spacing w:before="180" w:after="100"/>
      </w:pPr>
      <w:bookmarkStart w:id="110" w:name="_Toc_010"/>
      <w:r>
        <w:rPr>
          <w:rFonts w:ascii="游ゴシック" w:hAnsi="游ゴシック" w:eastAsia="游ゴシック"/>
          <w:b/>
          <w:i w:val="0"/>
          <w:color w:val="2E74B5"/>
          <w:sz w:val="25"/>
        </w:rPr>
        <w:t>(4)　得点の推移　―　2年で大きく伸びています</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spacing w:before="20" w:after="20"/>
            </w:pPr>
            <w:r>
              <w:rPr>
                <w:rFonts w:ascii="游ゴシック" w:hAnsi="游ゴシック" w:eastAsia="游ゴシック"/>
                <w:b w:val="0"/>
                <w:i w:val="0"/>
                <w:sz w:val="17"/>
              </w:rPr>
              <w:t>令和7年度交付金</w:t>
            </w:r>
          </w:p>
        </w:tc>
        <w:tc>
          <w:tcPr>
            <w:tcW w:type="dxa" w:w="1466"/>
            <w:vAlign w:val="center"/>
          </w:tcPr>
          <w:p>
            <w:pPr>
              <w:spacing w:before="20" w:after="20"/>
            </w:pPr>
            <w:r>
              <w:rPr>
                <w:rFonts w:ascii="游ゴシック" w:hAnsi="游ゴシック" w:eastAsia="游ゴシック"/>
                <w:b w:val="0"/>
                <w:i w:val="0"/>
                <w:sz w:val="17"/>
              </w:rPr>
              <w:t>令和6年度</w:t>
            </w:r>
          </w:p>
        </w:tc>
        <w:tc>
          <w:tcPr>
            <w:tcW w:type="dxa" w:w="1399"/>
            <w:vAlign w:val="center"/>
          </w:tcPr>
          <w:p>
            <w:pPr>
              <w:spacing w:before="20" w:after="20"/>
              <w:jc w:val="right"/>
            </w:pPr>
            <w:r>
              <w:rPr>
                <w:rFonts w:ascii="游ゴシック" w:hAnsi="游ゴシック" w:eastAsia="游ゴシック"/>
                <w:b w:val="0"/>
                <w:i w:val="0"/>
                <w:sz w:val="17"/>
              </w:rPr>
              <w:t>324点</w:t>
            </w:r>
          </w:p>
        </w:tc>
        <w:tc>
          <w:tcPr>
            <w:tcW w:type="dxa" w:w="1528"/>
            <w:vAlign w:val="center"/>
          </w:tcPr>
          <w:p>
            <w:pPr>
              <w:spacing w:before="20" w:after="20"/>
              <w:jc w:val="right"/>
            </w:pPr>
            <w:r>
              <w:rPr>
                <w:rFonts w:ascii="游ゴシック" w:hAnsi="游ゴシック" w:eastAsia="游ゴシック"/>
                <w:b w:val="0"/>
                <w:i w:val="0"/>
                <w:sz w:val="17"/>
              </w:rPr>
              <w:t>433.8点</w:t>
            </w:r>
          </w:p>
        </w:tc>
        <w:tc>
          <w:tcPr>
            <w:tcW w:type="dxa" w:w="1399"/>
            <w:vAlign w:val="center"/>
          </w:tcPr>
          <w:p>
            <w:pPr>
              <w:spacing w:before="20" w:after="20"/>
              <w:jc w:val="right"/>
            </w:pPr>
            <w:r>
              <w:rPr>
                <w:rFonts w:ascii="游ゴシック" w:hAnsi="游ゴシック" w:eastAsia="游ゴシック"/>
                <w:b w:val="0"/>
                <w:i w:val="0"/>
                <w:sz w:val="17"/>
              </w:rPr>
              <w:t>75％</w:t>
            </w:r>
          </w:p>
        </w:tc>
        <w:tc>
          <w:tcPr>
            <w:tcW w:type="dxa" w:w="2314"/>
            <w:vAlign w:val="center"/>
          </w:tcPr>
          <w:p>
            <w:pPr>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keepNext/>
        <w:spacing w:before="240" w:after="100"/>
      </w:pPr>
      <w:bookmarkStart w:id="111" w:name="_Toc_011"/>
      <w:r>
        <w:rPr>
          <w:rFonts w:ascii="游ゴシック" w:hAnsi="游ゴシック" w:eastAsia="游ゴシック"/>
          <w:b/>
          <w:i w:val="0"/>
          <w:color w:val="2E74B5"/>
          <w:sz w:val="30"/>
        </w:rPr>
        <w:t>3　介護給付適正化　―　弱点ではなく強みです</w:t>
      </w:r>
      <w:bookmarkEnd w:id="111"/>
    </w:p>
    <w:p>
      <w:pPr>
        <w:keepNext/>
        <w:spacing w:before="180" w:after="100"/>
      </w:pPr>
      <w:bookmarkStart w:id="112" w:name="_Toc_012"/>
      <w:r>
        <w:rPr>
          <w:rFonts w:ascii="游ゴシック" w:hAnsi="游ゴシック" w:eastAsia="游ゴシック"/>
          <w:b/>
          <w:i w:val="0"/>
          <w:color w:val="2E74B5"/>
          <w:sz w:val="25"/>
        </w:rPr>
        <w:t>(1)　目標Ⅱの得点</w:t>
      </w:r>
      <w:bookmarkEnd w:id="112"/>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ケアプラン点検の実施状況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0点</w:t>
            </w:r>
          </w:p>
        </w:tc>
        <w:tc>
          <w:tcPr>
            <w:tcW w:type="dxa" w:w="1636"/>
            <w:vAlign w:val="center"/>
          </w:tcPr>
          <w:p>
            <w:pPr>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keepNext/>
        <w:spacing w:before="180" w:after="100"/>
      </w:pPr>
      <w:bookmarkStart w:id="113" w:name="_Toc_013"/>
      <w:r>
        <w:rPr>
          <w:rFonts w:ascii="游ゴシック" w:hAnsi="游ゴシック" w:eastAsia="游ゴシック"/>
          <w:b/>
          <w:i w:val="0"/>
          <w:color w:val="2E74B5"/>
          <w:sz w:val="25"/>
        </w:rPr>
        <w:t>(2)　主要3事業の状況</w:t>
      </w:r>
      <w:bookmarkEnd w:id="113"/>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spacing w:before="20" w:after="20"/>
            </w:pPr>
            <w:r>
              <w:rPr>
                <w:rFonts w:ascii="游ゴシック" w:hAnsi="游ゴシック" w:eastAsia="游ゴシック"/>
                <w:b w:val="0"/>
                <w:i w:val="0"/>
                <w:sz w:val="17"/>
              </w:rPr>
              <w:t>② ケアプラン等の点検</w:t>
            </w:r>
          </w:p>
        </w:tc>
        <w:tc>
          <w:tcPr>
            <w:tcW w:type="dxa" w:w="2564"/>
            <w:vAlign w:val="center"/>
          </w:tcPr>
          <w:p>
            <w:pPr>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keepNext/>
        <w:spacing w:before="180" w:after="100"/>
      </w:pPr>
      <w:bookmarkStart w:id="114" w:name="_Toc_014"/>
      <w:r>
        <w:rPr>
          <w:rFonts w:ascii="游ゴシック" w:hAnsi="游ゴシック" w:eastAsia="游ゴシック"/>
          <w:b/>
          <w:i w:val="0"/>
          <w:color w:val="2E74B5"/>
          <w:sz w:val="25"/>
        </w:rPr>
        <w:t>(3)　68点は計画の記載に支えられています</w:t>
      </w:r>
      <w:bookmarkEnd w:id="114"/>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ウ</w:t>
            </w:r>
          </w:p>
        </w:tc>
        <w:tc>
          <w:tcPr>
            <w:tcW w:type="dxa" w:w="5344"/>
            <w:vAlign w:val="center"/>
          </w:tcPr>
          <w:p>
            <w:pPr>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keepNext/>
        <w:spacing w:before="180" w:after="100"/>
      </w:pPr>
      <w:bookmarkStart w:id="115" w:name="_Toc_015"/>
      <w:r>
        <w:rPr>
          <w:rFonts w:ascii="游ゴシック" w:hAnsi="游ゴシック" w:eastAsia="游ゴシック"/>
          <w:b/>
          <w:i w:val="0"/>
          <w:color w:val="2E74B5"/>
          <w:sz w:val="25"/>
        </w:rPr>
        <w:t>(4)　0点はケアプラン点検の実施割合だけ</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spacing w:before="20" w:after="20"/>
            </w:pPr>
            <w:r>
              <w:rPr>
                <w:rFonts w:ascii="游ゴシック" w:hAnsi="游ゴシック" w:eastAsia="游ゴシック"/>
                <w:b w:val="0"/>
                <w:i w:val="0"/>
                <w:sz w:val="17"/>
              </w:rPr>
              <w:t>ケアプラン点検の実施割合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0点</w:t>
            </w:r>
          </w:p>
        </w:tc>
        <w:tc>
          <w:tcPr>
            <w:tcW w:type="dxa" w:w="1510"/>
            <w:vAlign w:val="center"/>
          </w:tcPr>
          <w:p>
            <w:pPr>
              <w:spacing w:before="20" w:after="20"/>
              <w:jc w:val="right"/>
            </w:pPr>
            <w:r>
              <w:rPr>
                <w:rFonts w:ascii="游ゴシック" w:hAnsi="游ゴシック" w:eastAsia="游ゴシック"/>
                <w:b w:val="0"/>
                <w:i w:val="0"/>
                <w:sz w:val="17"/>
              </w:rPr>
              <w:t>6.7点</w:t>
            </w:r>
          </w:p>
        </w:tc>
        <w:tc>
          <w:tcPr>
            <w:tcW w:type="dxa" w:w="1884"/>
            <w:vAlign w:val="center"/>
          </w:tcPr>
          <w:p>
            <w:pPr>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keepNext/>
        <w:spacing w:before="240" w:after="100"/>
      </w:pPr>
      <w:bookmarkStart w:id="116" w:name="_Toc_016"/>
      <w:r>
        <w:rPr>
          <w:rFonts w:ascii="游ゴシック" w:hAnsi="游ゴシック" w:eastAsia="游ゴシック"/>
          <w:b/>
          <w:i w:val="0"/>
          <w:color w:val="2E74B5"/>
          <w:sz w:val="30"/>
        </w:rPr>
        <w:t>4　財政調整交付金への影響　―　保険料に効きます</w:t>
      </w:r>
      <w:bookmarkEnd w:id="116"/>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spacing w:before="20" w:after="20"/>
            </w:pPr>
            <w:r>
              <w:rPr>
                <w:rFonts w:ascii="游ゴシック" w:hAnsi="游ゴシック" w:eastAsia="游ゴシック"/>
                <w:b/>
                <w:i w:val="0"/>
                <w:sz w:val="17"/>
              </w:rPr>
              <w:t>影響の向き</w:t>
            </w:r>
          </w:p>
        </w:tc>
        <w:tc>
          <w:tcPr>
            <w:tcW w:type="dxa" w:w="7710"/>
            <w:vAlign w:val="center"/>
          </w:tcPr>
          <w:p>
            <w:pPr>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keepNext/>
        <w:spacing w:before="240" w:after="100"/>
      </w:pPr>
      <w:bookmarkStart w:id="117" w:name="_Toc_017"/>
      <w:r>
        <w:rPr>
          <w:rFonts w:ascii="游ゴシック" w:hAnsi="游ゴシック" w:eastAsia="游ゴシック"/>
          <w:b/>
          <w:i w:val="0"/>
          <w:color w:val="2E74B5"/>
          <w:sz w:val="30"/>
        </w:rPr>
        <w:t>5　最大の弱点　―　在宅医療・在宅介護連携</w:t>
      </w:r>
      <w:bookmarkEnd w:id="117"/>
    </w:p>
    <w:p>
      <w:pPr>
        <w:keepNext/>
        <w:spacing w:before="180" w:after="100"/>
      </w:pPr>
      <w:bookmarkStart w:id="118" w:name="_Toc_018"/>
      <w:r>
        <w:rPr>
          <w:rFonts w:ascii="游ゴシック" w:hAnsi="游ゴシック" w:eastAsia="游ゴシック"/>
          <w:b/>
          <w:i w:val="0"/>
          <w:color w:val="2E74B5"/>
          <w:sz w:val="25"/>
        </w:rPr>
        <w:t>(1)　支援Ⅲの得点</w:t>
      </w:r>
      <w:bookmarkEnd w:id="118"/>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入退院支援の実施状況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8点</w:t>
            </w:r>
          </w:p>
        </w:tc>
        <w:tc>
          <w:tcPr>
            <w:tcW w:type="dxa" w:w="1553"/>
            <w:vAlign w:val="center"/>
          </w:tcPr>
          <w:p>
            <w:pPr>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keepNext/>
        <w:spacing w:before="180" w:after="100"/>
      </w:pPr>
      <w:bookmarkStart w:id="119" w:name="_Toc_019"/>
      <w:r>
        <w:rPr>
          <w:rFonts w:ascii="游ゴシック" w:hAnsi="游ゴシック" w:eastAsia="游ゴシック"/>
          <w:b/>
          <w:i w:val="0"/>
          <w:color w:val="2E74B5"/>
          <w:sz w:val="25"/>
        </w:rPr>
        <w:t>(2)　0点になっている5つの枝番</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spacing w:before="20" w:after="20"/>
            </w:pPr>
            <w:r>
              <w:rPr>
                <w:rFonts w:ascii="游ゴシック" w:hAnsi="游ゴシック" w:eastAsia="游ゴシック"/>
                <w:b w:val="0"/>
                <w:i w:val="0"/>
                <w:sz w:val="17"/>
              </w:rPr>
              <w:t>具体的取組状況</w:t>
            </w:r>
          </w:p>
        </w:tc>
        <w:tc>
          <w:tcPr>
            <w:tcW w:type="dxa" w:w="1247"/>
            <w:vAlign w:val="center"/>
          </w:tcPr>
          <w:p>
            <w:pPr>
              <w:spacing w:before="20" w:after="20"/>
            </w:pPr>
            <w:r>
              <w:rPr>
                <w:rFonts w:ascii="游ゴシック" w:hAnsi="游ゴシック" w:eastAsia="游ゴシック"/>
                <w:b w:val="0"/>
                <w:i w:val="0"/>
                <w:sz w:val="17"/>
              </w:rPr>
              <w:t>ウ</w:t>
            </w:r>
          </w:p>
        </w:tc>
        <w:tc>
          <w:tcPr>
            <w:tcW w:type="dxa" w:w="4106"/>
            <w:vAlign w:val="center"/>
          </w:tcPr>
          <w:p>
            <w:pPr>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keepNext/>
        <w:spacing w:before="180" w:after="100"/>
      </w:pPr>
      <w:bookmarkStart w:id="120" w:name="_Toc_020"/>
      <w:r>
        <w:rPr>
          <w:rFonts w:ascii="游ゴシック" w:hAnsi="游ゴシック" w:eastAsia="游ゴシック"/>
          <w:b/>
          <w:i w:val="0"/>
          <w:color w:val="2E74B5"/>
          <w:sz w:val="25"/>
        </w:rPr>
        <w:t>(3)　第10期計画で書けること</w:t>
      </w:r>
      <w:bookmarkEnd w:id="120"/>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keepNext/>
        <w:spacing w:before="180" w:after="100"/>
      </w:pPr>
      <w:bookmarkStart w:id="121" w:name="_Toc_021"/>
      <w:r>
        <w:rPr>
          <w:rFonts w:ascii="游ゴシック" w:hAnsi="游ゴシック" w:eastAsia="游ゴシック"/>
          <w:b/>
          <w:i w:val="0"/>
          <w:color w:val="2E74B5"/>
          <w:sz w:val="25"/>
        </w:rPr>
        <w:t>(4)　活動指標群　―　入院時は上位1割、退院時は上位7割にも入っていない</w:t>
      </w:r>
      <w:bookmarkEnd w:id="121"/>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r>
              <w:rPr>
                <w:rFonts w:ascii="游ゴシック" w:hAnsi="游ゴシック" w:eastAsia="游ゴシック"/>
                <w:b w:val="0"/>
                <w:i w:val="0"/>
                <w:sz w:val="17"/>
              </w:rPr>
              <w:t>人生の最終段階における支援</w:t>
            </w:r>
          </w:p>
        </w:tc>
        <w:tc>
          <w:tcPr>
            <w:tcW w:type="dxa" w:w="1288"/>
            <w:vAlign w:val="center"/>
          </w:tcPr>
          <w:p>
            <w:pPr>
              <w:spacing w:before="20" w:after="20"/>
            </w:pPr>
            <w:r>
              <w:rPr>
                <w:rFonts w:ascii="游ゴシック" w:hAnsi="游ゴシック" w:eastAsia="游ゴシック"/>
                <w:b w:val="0"/>
                <w:i w:val="0"/>
                <w:sz w:val="17"/>
              </w:rPr>
              <w:t>ア</w:t>
            </w:r>
          </w:p>
        </w:tc>
        <w:tc>
          <w:tcPr>
            <w:tcW w:type="dxa" w:w="2904"/>
            <w:vAlign w:val="center"/>
          </w:tcPr>
          <w:p>
            <w:pPr>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keepNext/>
        <w:spacing w:before="240" w:after="100"/>
      </w:pPr>
      <w:bookmarkStart w:id="122" w:name="_Toc_022"/>
      <w:r>
        <w:rPr>
          <w:rFonts w:ascii="游ゴシック" w:hAnsi="游ゴシック" w:eastAsia="游ゴシック"/>
          <w:b/>
          <w:i w:val="0"/>
          <w:color w:val="2E74B5"/>
          <w:sz w:val="30"/>
        </w:rPr>
        <w:t>6　介護人材の活動指標群が0点</w:t>
      </w:r>
      <w:bookmarkEnd w:id="122"/>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keepNext/>
        <w:spacing w:before="240" w:after="100"/>
      </w:pPr>
      <w:bookmarkStart w:id="123" w:name="_Toc_023"/>
      <w:r>
        <w:rPr>
          <w:rFonts w:ascii="游ゴシック" w:hAnsi="游ゴシック" w:eastAsia="游ゴシック"/>
          <w:b/>
          <w:i w:val="0"/>
          <w:color w:val="2E74B5"/>
          <w:sz w:val="30"/>
        </w:rPr>
        <w:t>7　第10期で打つ手</w:t>
      </w:r>
      <w:bookmarkEnd w:id="123"/>
    </w:p>
    <w:p>
      <w:pPr>
        <w:keepNext/>
        <w:spacing w:before="180" w:after="100"/>
      </w:pPr>
      <w:bookmarkStart w:id="124" w:name="_Toc_024"/>
      <w:r>
        <w:rPr>
          <w:rFonts w:ascii="游ゴシック" w:hAnsi="游ゴシック" w:eastAsia="游ゴシック"/>
          <w:b/>
          <w:i w:val="0"/>
          <w:color w:val="2E74B5"/>
          <w:sz w:val="25"/>
        </w:rPr>
        <w:t>(1)　給付適正化計画の位置づけ（3案）</w:t>
      </w:r>
      <w:bookmarkEnd w:id="124"/>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spacing w:before="20" w:after="20"/>
            </w:pPr>
            <w:r>
              <w:rPr>
                <w:rFonts w:ascii="游ゴシック" w:hAnsi="游ゴシック" w:eastAsia="游ゴシック"/>
                <w:b/>
                <w:i w:val="0"/>
                <w:sz w:val="17"/>
              </w:rPr>
              <w:t>案B　施策の中に置く</w:t>
            </w:r>
          </w:p>
        </w:tc>
        <w:tc>
          <w:tcPr>
            <w:tcW w:type="dxa" w:w="2870"/>
            <w:vAlign w:val="center"/>
          </w:tcPr>
          <w:p>
            <w:pPr>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keepNext/>
        <w:spacing w:before="180" w:after="100"/>
      </w:pPr>
      <w:bookmarkStart w:id="125" w:name="_Toc_025"/>
      <w:r>
        <w:rPr>
          <w:rFonts w:ascii="游ゴシック" w:hAnsi="游ゴシック" w:eastAsia="游ゴシック"/>
          <w:b/>
          <w:i w:val="0"/>
          <w:color w:val="2E74B5"/>
          <w:sz w:val="25"/>
        </w:rPr>
        <w:t>(2)　主要3事業の毎年度の定量的な目標（案）</w:t>
      </w:r>
      <w:bookmarkEnd w:id="125"/>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r>
              <w:rPr>
                <w:rFonts w:ascii="游ゴシック" w:hAnsi="游ゴシック" w:eastAsia="游ゴシック"/>
                <w:b w:val="0"/>
                <w:i w:val="0"/>
                <w:sz w:val="17"/>
              </w:rPr>
              <w:t>縦覧点検・医療情報との突合</w:t>
            </w:r>
          </w:p>
        </w:tc>
        <w:tc>
          <w:tcPr>
            <w:tcW w:type="dxa" w:w="1592"/>
            <w:vAlign w:val="center"/>
          </w:tcPr>
          <w:p>
            <w:pPr>
              <w:spacing w:before="20" w:after="20"/>
            </w:pPr>
            <w:r>
              <w:rPr>
                <w:rFonts w:ascii="游ゴシック" w:hAnsi="游ゴシック" w:eastAsia="游ゴシック"/>
                <w:b w:val="0"/>
                <w:i w:val="0"/>
                <w:sz w:val="17"/>
              </w:rPr>
              <w:t>縦覧点検4帳票の全件点検</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280"/>
            <w:vAlign w:val="center"/>
          </w:tcPr>
          <w:p>
            <w:pPr>
              <w:spacing w:before="20" w:after="20"/>
              <w:jc w:val="right"/>
            </w:pPr>
            <w:r>
              <w:rPr>
                <w:rFonts w:ascii="游ゴシック" w:hAnsi="游ゴシック" w:eastAsia="游ゴシック"/>
                <w:b w:val="0"/>
                <w:i w:val="0"/>
                <w:sz w:val="17"/>
              </w:rPr>
              <w:t>4帳票</w:t>
            </w:r>
          </w:p>
        </w:tc>
        <w:tc>
          <w:tcPr>
            <w:tcW w:type="dxa" w:w="1816"/>
            <w:vAlign w:val="center"/>
          </w:tcPr>
          <w:p>
            <w:pPr>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keepNext/>
        <w:spacing w:before="180" w:after="100"/>
      </w:pPr>
      <w:bookmarkStart w:id="126" w:name="_Toc_026"/>
      <w:r>
        <w:rPr>
          <w:rFonts w:ascii="游ゴシック" w:hAnsi="游ゴシック" w:eastAsia="游ゴシック"/>
          <w:b/>
          <w:i w:val="0"/>
          <w:color w:val="2E74B5"/>
          <w:sz w:val="25"/>
        </w:rPr>
        <w:t>(3)　全国平均に届いていない指標</w:t>
      </w:r>
      <w:bookmarkEnd w:id="126"/>
    </w:p>
    <w:p>
      <w:pPr>
        <w:keepNext/>
        <w:spacing w:before="200" w:after="40"/>
      </w:pPr>
      <w:r>
        <w:rPr>
          <w:rFonts w:ascii="游ゴシック" w:hAnsi="游ゴシック" w:eastAsia="游ゴシック"/>
          <w:b/>
          <w:i w:val="0"/>
          <w:color w:val="1F4D78"/>
          <w:sz w:val="22"/>
        </w:rPr>
        <w:t>【図4】全国平均に届いていない指標（上位10）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4" name="Picture 4"/>
            <wp:cNvGraphicFramePr>
              <a:graphicFrameLocks noChangeAspect="1"/>
            </wp:cNvGraphicFramePr>
            <a:graphic>
              <a:graphicData uri="http://schemas.openxmlformats.org/drawingml/2006/picture">
                <pic:pic>
                  <pic:nvPicPr>
                    <pic:cNvPr id="0" name="f43_torikaeshi.png"/>
                    <pic:cNvPicPr/>
                  </pic:nvPicPr>
                  <pic:blipFill>
                    <a:blip r:embed="rId16"/>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keepNext/>
        <w:spacing w:before="240" w:after="100"/>
      </w:pPr>
      <w:bookmarkStart w:id="127" w:name="_Toc_027"/>
      <w:r>
        <w:rPr>
          <w:rFonts w:ascii="游ゴシック" w:hAnsi="游ゴシック" w:eastAsia="游ゴシック"/>
          <w:b/>
          <w:i w:val="0"/>
          <w:color w:val="2E74B5"/>
          <w:sz w:val="30"/>
        </w:rPr>
        <w:t>8　計画素案への反映</w:t>
      </w:r>
      <w:bookmarkEnd w:id="12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主要3事業の実施状況の記載の訂正</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「実施状況が未確認」「突合が0点」としていた記述を、3事業とも実施・突合は満点に改めます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spacing w:before="20" w:after="20"/>
            </w:pPr>
            <w:r>
              <w:rPr>
                <w:rFonts w:ascii="游ゴシック" w:hAnsi="游ゴシック" w:eastAsia="游ゴシック"/>
                <w:b w:val="0"/>
                <w:i w:val="0"/>
                <w:sz w:val="17"/>
              </w:rPr>
              <w:t>第5章（計画の推進）</w:t>
            </w:r>
          </w:p>
        </w:tc>
        <w:tc>
          <w:tcPr>
            <w:tcW w:type="dxa" w:w="4208"/>
            <w:vAlign w:val="center"/>
          </w:tcPr>
          <w:p>
            <w:pPr>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keepNext/>
        <w:spacing w:before="240" w:after="100"/>
      </w:pPr>
      <w:bookmarkStart w:id="128" w:name="_Toc_028"/>
      <w:r>
        <w:rPr>
          <w:rFonts w:ascii="游ゴシック" w:hAnsi="游ゴシック" w:eastAsia="游ゴシック"/>
          <w:b/>
          <w:i w:val="0"/>
          <w:color w:val="2E74B5"/>
          <w:sz w:val="30"/>
        </w:rPr>
        <w:t>9　決めていただくこと・いただきたい資料</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広域連合分の該当状況調査票集計表</w:t>
            </w:r>
          </w:p>
        </w:tc>
        <w:tc>
          <w:tcPr>
            <w:tcW w:type="dxa" w:w="4984"/>
            <w:vAlign w:val="center"/>
          </w:tcPr>
          <w:p>
            <w:pPr>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