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val="0"/>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本調査に回答のなかった訪問介護事業所についても、公表画面が入手できたものは訪問介護員等の人数を把握しました。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事業所</w:t>
            </w:r>
          </w:p>
        </w:tc>
        <w:tc>
          <w:tcPr>
            <w:tcW w:type="dxa" w:w="794"/>
            <w:shd w:val="clear" w:fill="F2F2F2"/>
          </w:tcPr>
          <w:p>
            <w:pPr>
              <w:keepNext/>
              <w:spacing w:after="20" w:before="20"/>
              <w:jc w:val="center"/>
            </w:pPr>
            <w:r/>
            <w:r>
              <w:rPr>
                <w:rFonts w:ascii="BIZ UDPゴシック" w:hAnsi="BIZ UDPゴシック" w:eastAsia="BIZ UDPゴシック"/>
                <w:b/>
                <w:sz w:val="18"/>
              </w:rPr>
              <w:t>町</w:t>
            </w:r>
          </w:p>
        </w:tc>
        <w:tc>
          <w:tcPr>
            <w:tcW w:type="dxa" w:w="2494"/>
            <w:shd w:val="clear" w:fill="F2F2F2"/>
          </w:tcPr>
          <w:p>
            <w:pPr>
              <w:keepNext/>
              <w:spacing w:after="20" w:before="20"/>
              <w:jc w:val="center"/>
            </w:pPr>
            <w:r/>
            <w:r>
              <w:rPr>
                <w:rFonts w:ascii="BIZ UDPゴシック" w:hAnsi="BIZ UDPゴシック" w:eastAsia="BIZ UDPゴシック"/>
                <w:b/>
                <w:sz w:val="18"/>
              </w:rPr>
              <w:t>訪問介護員等の実人数</w:t>
            </w:r>
          </w:p>
        </w:tc>
        <w:tc>
          <w:tcPr>
            <w:tcW w:type="dxa" w:w="1134"/>
            <w:shd w:val="clear" w:fill="F2F2F2"/>
          </w:tcPr>
          <w:p>
            <w:pPr>
              <w:keepNext/>
              <w:spacing w:after="20" w:before="20"/>
              <w:jc w:val="center"/>
            </w:pPr>
            <w:r/>
            <w:r>
              <w:rPr>
                <w:rFonts w:ascii="BIZ UDPゴシック" w:hAnsi="BIZ UDPゴシック" w:eastAsia="BIZ UDPゴシック"/>
                <w:b/>
                <w:sz w:val="18"/>
              </w:rPr>
              <w:t>常勤換算</w:t>
            </w:r>
          </w:p>
        </w:tc>
        <w:tc>
          <w:tcPr>
            <w:tcW w:type="dxa" w:w="2494"/>
            <w:shd w:val="clear" w:fill="F2F2F2"/>
          </w:tcPr>
          <w:p>
            <w:pPr>
              <w:keepNext/>
              <w:spacing w:after="20" w:before="20"/>
              <w:jc w:val="center"/>
            </w:pPr>
            <w:r/>
            <w:r>
              <w:rPr>
                <w:rFonts w:ascii="BIZ UDPゴシック" w:hAnsi="BIZ UDPゴシック" w:eastAsia="BIZ UDPゴシック"/>
                <w:b/>
                <w:sz w:val="18"/>
              </w:rPr>
              <w:t>前年度の採用・退職</w:t>
            </w:r>
          </w:p>
        </w:tc>
      </w:tr>
      <w:tr>
        <w:trPr>
          <w:cantSplit/>
        </w:trPr>
        <w:tc>
          <w:tcPr>
            <w:tcW w:type="dxa" w:w="2835"/>
          </w:tcPr>
          <w:p>
            <w:pPr>
              <w:keepNext/>
              <w:spacing w:after="20" w:before="20"/>
            </w:pPr>
            <w:r/>
            <w:r>
              <w:rPr>
                <w:rFonts w:ascii="BIZ UDPゴシック" w:hAnsi="BIZ UDPゴシック" w:eastAsia="BIZ UDPゴシック"/>
                <w:b w:val="0"/>
                <w:sz w:val="18"/>
              </w:rPr>
              <w:t>指定（介護予防）訪問介護ケンセイシャレバレッジ</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10人（常勤6・非常勤4）</w:t>
            </w:r>
          </w:p>
        </w:tc>
        <w:tc>
          <w:tcPr>
            <w:tcW w:type="dxa" w:w="1134"/>
          </w:tcPr>
          <w:p>
            <w:pPr>
              <w:keepNext/>
              <w:spacing w:after="20" w:before="20"/>
            </w:pPr>
            <w:r/>
            <w:r>
              <w:rPr>
                <w:rFonts w:ascii="BIZ UDPゴシック" w:hAnsi="BIZ UDPゴシック" w:eastAsia="BIZ UDPゴシック"/>
                <w:b w:val="0"/>
                <w:sz w:val="18"/>
              </w:rPr>
              <w:t>4.0人</w:t>
            </w:r>
          </w:p>
        </w:tc>
        <w:tc>
          <w:tcPr>
            <w:tcW w:type="dxa" w:w="2494"/>
          </w:tcPr>
          <w:p>
            <w:pPr>
              <w:keepNext/>
              <w:spacing w:after="20" w:before="20"/>
            </w:pPr>
            <w:r/>
            <w:r>
              <w:rPr>
                <w:rFonts w:ascii="BIZ UDPゴシック" w:hAnsi="BIZ UDPゴシック" w:eastAsia="BIZ UDPゴシック"/>
                <w:b w:val="0"/>
                <w:sz w:val="18"/>
              </w:rPr>
              <w:t>採用1人・退職0人</w:t>
            </w:r>
          </w:p>
        </w:tc>
      </w:tr>
      <w:tr>
        <w:trPr>
          <w:cantSplit/>
        </w:trPr>
        <w:tc>
          <w:tcPr>
            <w:tcW w:type="dxa" w:w="2835"/>
          </w:tcPr>
          <w:p>
            <w:pPr>
              <w:keepNext/>
              <w:spacing w:after="20" w:before="20"/>
            </w:pPr>
            <w:r/>
            <w:r>
              <w:rPr>
                <w:rFonts w:ascii="BIZ UDPゴシック" w:hAnsi="BIZ UDPゴシック" w:eastAsia="BIZ UDPゴシック"/>
                <w:b w:val="0"/>
                <w:sz w:val="18"/>
              </w:rPr>
              <w:t>東神楽町ホームヘルプサービスセンター</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6人（常勤4・非常勤2）</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採用0人・退職2人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指定訪問介護事業所ひばり</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12人（常勤11・非常勤1）</w:t>
            </w:r>
          </w:p>
        </w:tc>
        <w:tc>
          <w:tcPr>
            <w:tcW w:type="dxa" w:w="1134"/>
          </w:tcPr>
          <w:p>
            <w:pPr>
              <w:keepNext/>
              <w:spacing w:after="20" w:before="20"/>
            </w:pPr>
            <w:r/>
            <w:r>
              <w:rPr>
                <w:rFonts w:ascii="BIZ UDPゴシック" w:hAnsi="BIZ UDPゴシック" w:eastAsia="BIZ UDPゴシック"/>
                <w:b w:val="0"/>
                <w:sz w:val="18"/>
              </w:rPr>
              <w:t>6.3人</w:t>
            </w:r>
          </w:p>
        </w:tc>
        <w:tc>
          <w:tcPr>
            <w:tcW w:type="dxa" w:w="2494"/>
          </w:tcPr>
          <w:p>
            <w:pPr>
              <w:keepNext/>
              <w:spacing w:after="20" w:before="20"/>
            </w:pPr>
            <w:r/>
            <w:r>
              <w:rPr>
                <w:rFonts w:ascii="BIZ UDPゴシック" w:hAnsi="BIZ UDPゴシック" w:eastAsia="BIZ UDPゴシック"/>
                <w:b w:val="0"/>
                <w:sz w:val="18"/>
              </w:rPr>
              <w:t>採用0人・退職1人</w:t>
            </w:r>
          </w:p>
        </w:tc>
      </w:tr>
      <w:tr>
        <w:trPr>
          <w:cantSplit/>
        </w:trPr>
        <w:tc>
          <w:tcPr>
            <w:tcW w:type="dxa" w:w="2835"/>
          </w:tcPr>
          <w:p>
            <w:pPr>
              <w:keepNext/>
              <w:spacing w:after="20" w:before="20"/>
            </w:pPr>
            <w:r/>
            <w:r>
              <w:rPr>
                <w:rFonts w:ascii="BIZ UDPゴシック" w:hAnsi="BIZ UDPゴシック" w:eastAsia="BIZ UDPゴシック"/>
                <w:b w:val="0"/>
                <w:sz w:val="18"/>
              </w:rPr>
              <w:t>東川町社協訪問介護事業所</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7人（常勤3・非常勤4）</w:t>
            </w:r>
          </w:p>
        </w:tc>
        <w:tc>
          <w:tcPr>
            <w:tcW w:type="dxa" w:w="1134"/>
          </w:tcPr>
          <w:p>
            <w:pPr>
              <w:keepNext/>
              <w:spacing w:after="20" w:before="20"/>
            </w:pPr>
            <w:r/>
            <w:r>
              <w:rPr>
                <w:rFonts w:ascii="BIZ UDPゴシック" w:hAnsi="BIZ UDPゴシック" w:eastAsia="BIZ UDPゴシック"/>
                <w:b w:val="0"/>
                <w:sz w:val="18"/>
              </w:rPr>
              <w:t>4.2人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指定訪問介護（指定介護予防訪問介護）事業所 縁結び</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31人（常勤11・非常勤20）</w:t>
            </w:r>
          </w:p>
        </w:tc>
        <w:tc>
          <w:tcPr>
            <w:tcW w:type="dxa" w:w="1134"/>
          </w:tcPr>
          <w:p>
            <w:pPr>
              <w:keepNext/>
              <w:spacing w:after="20" w:before="20"/>
            </w:pPr>
            <w:r/>
            <w:r>
              <w:rPr>
                <w:rFonts w:ascii="BIZ UDPゴシック" w:hAnsi="BIZ UDPゴシック" w:eastAsia="BIZ UDPゴシック"/>
                <w:b w:val="0"/>
                <w:sz w:val="18"/>
              </w:rPr>
              <w:t>8.28人</w:t>
            </w:r>
          </w:p>
        </w:tc>
        <w:tc>
          <w:tcPr>
            <w:tcW w:type="dxa" w:w="2494"/>
          </w:tcPr>
          <w:p>
            <w:pPr>
              <w:keepNext/>
              <w:spacing w:after="20" w:before="20"/>
            </w:pPr>
            <w:r/>
            <w:r>
              <w:rPr>
                <w:rFonts w:ascii="BIZ UDPゴシック" w:hAnsi="BIZ UDPゴシック" w:eastAsia="BIZ UDPゴシック"/>
                <w:b w:val="0"/>
                <w:sz w:val="18"/>
              </w:rPr>
              <w:t>採用6人・退職10人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桜華</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22人（常勤10・非常勤12）</w:t>
            </w:r>
          </w:p>
        </w:tc>
        <w:tc>
          <w:tcPr>
            <w:tcW w:type="dxa" w:w="1134"/>
          </w:tcPr>
          <w:p>
            <w:pPr>
              <w:keepNext/>
              <w:spacing w:after="20" w:before="20"/>
            </w:pPr>
            <w:r/>
            <w:r>
              <w:rPr>
                <w:rFonts w:ascii="BIZ UDPゴシック" w:hAnsi="BIZ UDPゴシック" w:eastAsia="BIZ UDPゴシック"/>
                <w:b w:val="0"/>
                <w:sz w:val="18"/>
              </w:rPr>
              <w:t>5.0人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 恩送り</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11人（常勤9・非常勤2）</w:t>
            </w:r>
          </w:p>
        </w:tc>
        <w:tc>
          <w:tcPr>
            <w:tcW w:type="dxa" w:w="1134"/>
          </w:tcPr>
          <w:p>
            <w:pPr>
              <w:keepNext/>
              <w:spacing w:after="20" w:before="20"/>
            </w:pPr>
            <w:r/>
            <w:r>
              <w:rPr>
                <w:rFonts w:ascii="BIZ UDPゴシック" w:hAnsi="BIZ UDPゴシック" w:eastAsia="BIZ UDPゴシック"/>
                <w:b w:val="0"/>
                <w:sz w:val="18"/>
              </w:rPr>
              <w:t>記載なし</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ほがらか</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17人（常勤10・非常勤7）</w:t>
            </w:r>
          </w:p>
        </w:tc>
        <w:tc>
          <w:tcPr>
            <w:tcW w:type="dxa" w:w="1134"/>
          </w:tcPr>
          <w:p>
            <w:pPr>
              <w:keepNext/>
              <w:spacing w:after="20" w:before="20"/>
            </w:pPr>
            <w:r/>
            <w:r>
              <w:rPr>
                <w:rFonts w:ascii="BIZ UDPゴシック" w:hAnsi="BIZ UDPゴシック" w:eastAsia="BIZ UDPゴシック"/>
                <w:b w:val="0"/>
                <w:sz w:val="18"/>
              </w:rPr>
              <w:t>5.6人</w:t>
            </w:r>
          </w:p>
        </w:tc>
        <w:tc>
          <w:tcPr>
            <w:tcW w:type="dxa" w:w="2494"/>
          </w:tcPr>
          <w:p>
            <w:pPr>
              <w:keepNext/>
              <w:spacing w:after="20" w:before="20"/>
            </w:pPr>
            <w:r/>
            <w:r>
              <w:rPr>
                <w:rFonts w:ascii="BIZ UDPゴシック" w:hAnsi="BIZ UDPゴシック" w:eastAsia="BIZ UDPゴシック"/>
                <w:b w:val="0"/>
                <w:sz w:val="18"/>
              </w:rPr>
              <w:t>採用2人・退職6人</w:t>
            </w:r>
          </w:p>
        </w:tc>
      </w:tr>
      <w:tr>
        <w:trPr>
          <w:cantSplit/>
        </w:trPr>
        <w:tc>
          <w:tcPr>
            <w:tcW w:type="dxa" w:w="2835"/>
          </w:tcPr>
          <w:p>
            <w:pPr>
              <w:keepNext/>
              <w:spacing w:after="20" w:before="20"/>
            </w:pPr>
            <w:r/>
            <w:r>
              <w:rPr>
                <w:rFonts w:ascii="BIZ UDPゴシック" w:hAnsi="BIZ UDPゴシック" w:eastAsia="BIZ UDPゴシック"/>
                <w:b w:val="0"/>
                <w:sz w:val="18"/>
              </w:rPr>
              <w:t>訪問介護ステーションゆう</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6人（常勤5・非常勤1）</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採用1人・退職1人</w:t>
            </w:r>
          </w:p>
        </w:tc>
      </w:tr>
      <w:tr>
        <w:trPr>
          <w:cantSplit/>
        </w:trPr>
        <w:tc>
          <w:tcPr>
            <w:tcW w:type="dxa" w:w="2835"/>
          </w:tcPr>
          <w:p>
            <w:pPr>
              <w:spacing w:after="20" w:before="20"/>
            </w:pPr>
            <w:r/>
            <w:r>
              <w:rPr>
                <w:rFonts w:ascii="BIZ UDPゴシック" w:hAnsi="BIZ UDPゴシック" w:eastAsia="BIZ UDPゴシック"/>
                <w:b w:val="0"/>
                <w:sz w:val="18"/>
              </w:rPr>
              <w:t>美瑛町ホームヘルプサービスセンター</w:t>
            </w:r>
          </w:p>
        </w:tc>
        <w:tc>
          <w:tcPr>
            <w:tcW w:type="dxa" w:w="794"/>
          </w:tcPr>
          <w:p>
            <w:pPr>
              <w:spacing w:after="20" w:before="20"/>
            </w:pPr>
            <w:r/>
            <w:r>
              <w:rPr>
                <w:rFonts w:ascii="BIZ UDPゴシック" w:hAnsi="BIZ UDPゴシック" w:eastAsia="BIZ UDPゴシック"/>
                <w:b w:val="0"/>
                <w:sz w:val="18"/>
              </w:rPr>
              <w:t>美瑛町</w:t>
            </w:r>
          </w:p>
        </w:tc>
        <w:tc>
          <w:tcPr>
            <w:tcW w:type="dxa" w:w="2494"/>
          </w:tcPr>
          <w:p>
            <w:pPr>
              <w:spacing w:after="20" w:before="20"/>
            </w:pPr>
            <w:r/>
            <w:r>
              <w:rPr>
                <w:rFonts w:ascii="BIZ UDPゴシック" w:hAnsi="BIZ UDPゴシック" w:eastAsia="BIZ UDPゴシック"/>
                <w:b w:val="0"/>
                <w:sz w:val="18"/>
              </w:rPr>
              <w:t>13人（常勤6・非常勤7）</w:t>
            </w:r>
          </w:p>
        </w:tc>
        <w:tc>
          <w:tcPr>
            <w:tcW w:type="dxa" w:w="1134"/>
          </w:tcPr>
          <w:p>
            <w:pPr>
              <w:spacing w:after="20" w:before="20"/>
            </w:pPr>
            <w:r/>
            <w:r>
              <w:rPr>
                <w:rFonts w:ascii="BIZ UDPゴシック" w:hAnsi="BIZ UDPゴシック" w:eastAsia="BIZ UDPゴシック"/>
                <w:b w:val="0"/>
                <w:sz w:val="18"/>
              </w:rPr>
              <w:t>6.4人</w:t>
            </w:r>
          </w:p>
        </w:tc>
        <w:tc>
          <w:tcPr>
            <w:tcW w:type="dxa" w:w="2494"/>
          </w:tcPr>
          <w:p>
            <w:pPr>
              <w:spacing w:after="20" w:before="20"/>
            </w:pPr>
            <w:r/>
            <w:r>
              <w:rPr>
                <w:rFonts w:ascii="BIZ UDPゴシック" w:hAnsi="BIZ UDPゴシック" w:eastAsia="BIZ UDPゴシック"/>
                <w:b w:val="0"/>
                <w:sz w:val="18"/>
              </w:rPr>
              <w:t>採用2人・退職2人</w:t>
            </w:r>
          </w:p>
        </w:tc>
      </w:tr>
    </w:tbl>
    <w:p>
      <w:pPr>
        <w:spacing w:after="80" w:before="0"/>
      </w:pPr>
    </w:p>
    <w:p>
      <w:pPr>
        <w:pStyle w:val="note"/>
        <w:spacing w:after="80" w:line="276" w:lineRule="auto"/>
      </w:pPr>
      <w:r>
        <w:rPr>
          <w:b w:val="0"/>
        </w:rPr>
        <w:t>これにより、区域内の訪問介護13事業所すべてについて訪問介護員等の実人数を把握しました。合計181人です。「回答のあった３事業所」という代表性の限界は解消しました。10事業所とも本調査の基準日（令和7年4月1日）より前からの指定であり、基準日に開設していなかったことによる未回答ではありません。ただし公表画面の記入日は令和7年10月3日から11月7日までであり、本調査の基準日とは時点が異なります。本報告書では公表画面によるものを「令和7年10〜11月時点」と明記して用います。</w:t>
      </w:r>
    </w:p>
    <w:p>
      <w:pPr>
        <w:pStyle w:val="note"/>
        <w:spacing w:after="80" w:line="276" w:lineRule="auto"/>
      </w:pPr>
      <w:r>
        <w:rPr>
          <w:b w:val="0"/>
        </w:rPr>
        <w:t>13事業所の前年度の採用者数は合計23人、退職者数は合計28人で、５人の減です。退職が採用を上回るのは、縁結び（採用6人・退職10人）、ほがらか（採用2人・退職6人）を含む５事業所です。ただし公表制度の「前年度」と本調査の「過去1年間」は対象期間の解釈が異なる可能性があるため、代表KPI H14（採用率と離職率の差）にはそのまま用いません。</w:t>
      </w:r>
    </w:p>
    <w:p>
      <w:pPr>
        <w:pStyle w:val="note"/>
        <w:spacing w:after="80" w:line="276" w:lineRule="auto"/>
      </w:pPr>
      <w:r>
        <w:rPr>
          <w:b w:val="0"/>
        </w:rPr>
        <w:t>実人数に対する常勤換算の比は事業所により大きく異なります（東神楽町ホームヘルプサービスセンターは6人に対し6.0人、縁結びは31人に対し8.28人）。兼務の多寡によるものです。訪問系の従事者数を実人数で積み上げる場合はその旨を明記して用います。なお、指定訪問介護事業所 恩送りは常勤換算人数の欄が0であり、利用者17人・提供時間20時間との整合がとれないため用いていません。美瑛町ホームヘルプサービスセンターは常勤の週の勤務すべき時間数が38.75時間で、他の10事業所（40時間）と異なります。</w:t>
      </w:r>
    </w:p>
    <w:p>
      <w:pPr>
        <w:pStyle w:val="note"/>
        <w:spacing w:after="80" w:line="276" w:lineRule="auto"/>
      </w:pPr>
      <w:r>
        <w:rPr>
          <w:b w:val="0"/>
        </w:rPr>
        <w:t>指定訪問介護事業所ひばりは、同一敷地に住宅型有料老人ホームひばりの森（本調査に回答・介護職員9人）及びグループホームひばり（本調査に回答・介護職員21人）があり、訪問介護員等12人との重複の有無は確かめられていません。有料老人ホーム華とヘルパーステーションフラワーと同じ構造ですが、施設票の9人（常勤7・非常勤2・採用3・離職0）と公表画面の12人（常勤11・非常勤1・採用0・退職1）は数値が異なり、同一の値が転記されたものではありません。</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13事業所について、併設する居住系の住まいの有無を整理しました。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1134"/>
            <w:shd w:val="clear" w:fill="F2F2F2"/>
          </w:tcPr>
          <w:p>
            <w:pPr>
              <w:keepNext/>
              <w:spacing w:after="20" w:before="20"/>
              <w:jc w:val="center"/>
            </w:pPr>
            <w:r/>
            <w:r>
              <w:rPr>
                <w:rFonts w:ascii="BIZ UDPゴシック" w:hAnsi="BIZ UDPゴシック" w:eastAsia="BIZ UDPゴシック"/>
                <w:b/>
                <w:sz w:val="18"/>
              </w:rPr>
              <w:t>区分</w:t>
            </w:r>
          </w:p>
        </w:tc>
        <w:tc>
          <w:tcPr>
            <w:tcW w:type="dxa" w:w="794"/>
            <w:shd w:val="clear" w:fill="F2F2F2"/>
          </w:tcPr>
          <w:p>
            <w:pPr>
              <w:keepNext/>
              <w:spacing w:after="20" w:before="20"/>
              <w:jc w:val="center"/>
            </w:pPr>
            <w:r/>
            <w:r>
              <w:rPr>
                <w:rFonts w:ascii="BIZ UDPゴシック" w:hAnsi="BIZ UDPゴシック" w:eastAsia="BIZ UDPゴシック"/>
                <w:b/>
                <w:sz w:val="18"/>
              </w:rPr>
              <w:t>事業所数</w:t>
            </w:r>
          </w:p>
        </w:tc>
        <w:tc>
          <w:tcPr>
            <w:tcW w:type="dxa" w:w="1928"/>
            <w:shd w:val="clear" w:fill="F2F2F2"/>
          </w:tcPr>
          <w:p>
            <w:pPr>
              <w:keepNext/>
              <w:spacing w:after="20" w:before="20"/>
              <w:jc w:val="center"/>
            </w:pPr>
            <w:r/>
            <w:r>
              <w:rPr>
                <w:rFonts w:ascii="BIZ UDPゴシック" w:hAnsi="BIZ UDPゴシック" w:eastAsia="BIZ UDPゴシック"/>
                <w:b/>
                <w:sz w:val="18"/>
              </w:rPr>
              <w:t>訪問介護員等</w:t>
            </w:r>
          </w:p>
        </w:tc>
        <w:tc>
          <w:tcPr>
            <w:tcW w:type="dxa" w:w="1814"/>
            <w:shd w:val="clear" w:fill="F2F2F2"/>
          </w:tcPr>
          <w:p>
            <w:pPr>
              <w:keepNext/>
              <w:spacing w:after="20" w:before="20"/>
              <w:jc w:val="center"/>
            </w:pPr>
            <w:r/>
            <w:r>
              <w:rPr>
                <w:rFonts w:ascii="BIZ UDPゴシック" w:hAnsi="BIZ UDPゴシック" w:eastAsia="BIZ UDPゴシック"/>
                <w:b/>
                <w:sz w:val="18"/>
              </w:rPr>
              <w:t>利用者</w:t>
            </w:r>
          </w:p>
        </w:tc>
        <w:tc>
          <w:tcPr>
            <w:tcW w:type="dxa" w:w="4082"/>
            <w:shd w:val="clear" w:fill="F2F2F2"/>
          </w:tcPr>
          <w:p>
            <w:pPr>
              <w:keepNext/>
              <w:spacing w:after="20" w:before="20"/>
              <w:jc w:val="center"/>
            </w:pPr>
            <w:r/>
            <w:r>
              <w:rPr>
                <w:rFonts w:ascii="BIZ UDPゴシック" w:hAnsi="BIZ UDPゴシック" w:eastAsia="BIZ UDPゴシック"/>
                <w:b/>
                <w:sz w:val="18"/>
              </w:rPr>
              <w:t>事業所</w:t>
            </w:r>
          </w:p>
        </w:tc>
      </w:tr>
      <w:tr>
        <w:trPr>
          <w:cantSplit/>
        </w:trPr>
        <w:tc>
          <w:tcPr>
            <w:tcW w:type="dxa" w:w="1134"/>
          </w:tcPr>
          <w:p>
            <w:pPr>
              <w:keepNext/>
              <w:spacing w:after="20" w:before="20"/>
            </w:pPr>
            <w:r/>
            <w:r>
              <w:rPr>
                <w:rFonts w:ascii="BIZ UDPゴシック" w:hAnsi="BIZ UDPゴシック" w:eastAsia="BIZ UDPゴシック"/>
                <w:b w:val="0"/>
                <w:sz w:val="18"/>
              </w:rPr>
              <w:t>併設あり</w:t>
            </w:r>
          </w:p>
        </w:tc>
        <w:tc>
          <w:tcPr>
            <w:tcW w:type="dxa" w:w="794"/>
          </w:tcPr>
          <w:p>
            <w:pPr>
              <w:keepNext/>
              <w:spacing w:after="20" w:before="20"/>
            </w:pPr>
            <w:r/>
            <w:r>
              <w:rPr>
                <w:rFonts w:ascii="BIZ UDPゴシック" w:hAnsi="BIZ UDPゴシック" w:eastAsia="BIZ UDPゴシック"/>
                <w:b w:val="0"/>
                <w:sz w:val="18"/>
              </w:rPr>
              <w:t>８</w:t>
            </w:r>
          </w:p>
        </w:tc>
        <w:tc>
          <w:tcPr>
            <w:tcW w:type="dxa" w:w="1928"/>
          </w:tcPr>
          <w:p>
            <w:pPr>
              <w:keepNext/>
              <w:spacing w:after="20" w:before="20"/>
            </w:pPr>
            <w:r/>
            <w:r>
              <w:rPr>
                <w:rFonts w:ascii="BIZ UDPゴシック" w:hAnsi="BIZ UDPゴシック" w:eastAsia="BIZ UDPゴシック"/>
                <w:b w:val="0"/>
                <w:sz w:val="18"/>
              </w:rPr>
              <w:t>128人（70.7%）</w:t>
            </w:r>
          </w:p>
        </w:tc>
        <w:tc>
          <w:tcPr>
            <w:tcW w:type="dxa" w:w="1814"/>
          </w:tcPr>
          <w:p>
            <w:pPr>
              <w:keepNext/>
              <w:spacing w:after="20" w:before="20"/>
            </w:pPr>
            <w:r/>
            <w:r>
              <w:rPr>
                <w:rFonts w:ascii="BIZ UDPゴシック" w:hAnsi="BIZ UDPゴシック" w:eastAsia="BIZ UDPゴシック"/>
                <w:b w:val="0"/>
                <w:sz w:val="18"/>
              </w:rPr>
              <w:t>225人（65.0%）</w:t>
            </w:r>
          </w:p>
        </w:tc>
        <w:tc>
          <w:tcPr>
            <w:tcW w:type="dxa" w:w="4082"/>
          </w:tcPr>
          <w:p>
            <w:pPr>
              <w:keepNext/>
              <w:spacing w:after="20" w:before="20"/>
            </w:pPr>
            <w:r/>
            <w:r>
              <w:rPr>
                <w:rFonts w:ascii="BIZ UDPゴシック" w:hAnsi="BIZ UDPゴシック" w:eastAsia="BIZ UDPゴシック"/>
                <w:b w:val="0"/>
                <w:sz w:val="18"/>
              </w:rPr>
              <w:t>花時計、フラワー、シルバーハウス、ひばり、縁結び、桜華、恩送り、ゆう</w:t>
            </w:r>
          </w:p>
        </w:tc>
      </w:tr>
      <w:tr>
        <w:trPr>
          <w:cantSplit/>
        </w:trPr>
        <w:tc>
          <w:tcPr>
            <w:tcW w:type="dxa" w:w="1134"/>
          </w:tcPr>
          <w:p>
            <w:pPr>
              <w:keepNext/>
              <w:spacing w:after="20" w:before="20"/>
            </w:pPr>
            <w:r/>
            <w:r>
              <w:rPr>
                <w:rFonts w:ascii="BIZ UDPゴシック" w:hAnsi="BIZ UDPゴシック" w:eastAsia="BIZ UDPゴシック"/>
                <w:b w:val="0"/>
                <w:sz w:val="18"/>
              </w:rPr>
              <w:t>併設なし</w:t>
            </w:r>
          </w:p>
        </w:tc>
        <w:tc>
          <w:tcPr>
            <w:tcW w:type="dxa" w:w="794"/>
          </w:tcPr>
          <w:p>
            <w:pPr>
              <w:keepNext/>
              <w:spacing w:after="20" w:before="20"/>
            </w:pPr>
            <w:r/>
            <w:r>
              <w:rPr>
                <w:rFonts w:ascii="BIZ UDPゴシック" w:hAnsi="BIZ UDPゴシック" w:eastAsia="BIZ UDPゴシック"/>
                <w:b w:val="0"/>
                <w:sz w:val="18"/>
              </w:rPr>
              <w:t>５</w:t>
            </w:r>
          </w:p>
        </w:tc>
        <w:tc>
          <w:tcPr>
            <w:tcW w:type="dxa" w:w="1928"/>
          </w:tcPr>
          <w:p>
            <w:pPr>
              <w:keepNext/>
              <w:spacing w:after="20" w:before="20"/>
            </w:pPr>
            <w:r/>
            <w:r>
              <w:rPr>
                <w:rFonts w:ascii="BIZ UDPゴシック" w:hAnsi="BIZ UDPゴシック" w:eastAsia="BIZ UDPゴシック"/>
                <w:b w:val="0"/>
                <w:sz w:val="18"/>
              </w:rPr>
              <w:t>53人（29.3%）</w:t>
            </w:r>
          </w:p>
        </w:tc>
        <w:tc>
          <w:tcPr>
            <w:tcW w:type="dxa" w:w="1814"/>
          </w:tcPr>
          <w:p>
            <w:pPr>
              <w:keepNext/>
              <w:spacing w:after="20" w:before="20"/>
            </w:pPr>
            <w:r/>
            <w:r>
              <w:rPr>
                <w:rFonts w:ascii="BIZ UDPゴシック" w:hAnsi="BIZ UDPゴシック" w:eastAsia="BIZ UDPゴシック"/>
                <w:b w:val="0"/>
                <w:sz w:val="18"/>
              </w:rPr>
              <w:t>121人（35.0%）</w:t>
            </w:r>
          </w:p>
        </w:tc>
        <w:tc>
          <w:tcPr>
            <w:tcW w:type="dxa" w:w="4082"/>
          </w:tcPr>
          <w:p>
            <w:pPr>
              <w:keepNext/>
              <w:spacing w:after="20" w:before="20"/>
            </w:pPr>
            <w:r/>
            <w:r>
              <w:rPr>
                <w:rFonts w:ascii="BIZ UDPゴシック" w:hAnsi="BIZ UDPゴシック" w:eastAsia="BIZ UDPゴシック"/>
                <w:b w:val="0"/>
                <w:sz w:val="18"/>
              </w:rPr>
              <w:t>３町の社会福祉協議会の３事業所、ケンセイシャレバレッジ及びほがらか</w:t>
            </w:r>
          </w:p>
        </w:tc>
      </w:tr>
      <w:tr>
        <w:trPr>
          <w:cantSplit/>
        </w:trPr>
        <w:tc>
          <w:tcPr>
            <w:tcW w:type="dxa" w:w="1134"/>
          </w:tcPr>
          <w:p>
            <w:pPr>
              <w:spacing w:after="20" w:before="20"/>
            </w:pPr>
            <w:r/>
            <w:r>
              <w:rPr>
                <w:rFonts w:ascii="BIZ UDPゴシック" w:hAnsi="BIZ UDPゴシック" w:eastAsia="BIZ UDPゴシック"/>
                <w:b w:val="0"/>
                <w:sz w:val="18"/>
              </w:rPr>
              <w:t>計</w:t>
            </w:r>
          </w:p>
        </w:tc>
        <w:tc>
          <w:tcPr>
            <w:tcW w:type="dxa" w:w="794"/>
          </w:tcPr>
          <w:p>
            <w:pPr>
              <w:spacing w:after="20" w:before="20"/>
            </w:pPr>
            <w:r/>
            <w:r>
              <w:rPr>
                <w:rFonts w:ascii="BIZ UDPゴシック" w:hAnsi="BIZ UDPゴシック" w:eastAsia="BIZ UDPゴシック"/>
                <w:b w:val="0"/>
                <w:sz w:val="18"/>
              </w:rPr>
              <w:t>13</w:t>
            </w:r>
          </w:p>
        </w:tc>
        <w:tc>
          <w:tcPr>
            <w:tcW w:type="dxa" w:w="1928"/>
          </w:tcPr>
          <w:p>
            <w:pPr>
              <w:spacing w:after="20" w:before="20"/>
            </w:pPr>
            <w:r/>
            <w:r>
              <w:rPr>
                <w:rFonts w:ascii="BIZ UDPゴシック" w:hAnsi="BIZ UDPゴシック" w:eastAsia="BIZ UDPゴシック"/>
                <w:b w:val="0"/>
                <w:sz w:val="18"/>
              </w:rPr>
              <w:t>181人</w:t>
            </w:r>
          </w:p>
        </w:tc>
        <w:tc>
          <w:tcPr>
            <w:tcW w:type="dxa" w:w="1814"/>
          </w:tcPr>
          <w:p>
            <w:pPr>
              <w:spacing w:after="20" w:before="20"/>
            </w:pPr>
            <w:r/>
            <w:r>
              <w:rPr>
                <w:rFonts w:ascii="BIZ UDPゴシック" w:hAnsi="BIZ UDPゴシック" w:eastAsia="BIZ UDPゴシック"/>
                <w:b w:val="0"/>
                <w:sz w:val="18"/>
              </w:rPr>
              <w:t>346人</w:t>
            </w:r>
          </w:p>
        </w:tc>
        <w:tc>
          <w:tcPr>
            <w:tcW w:type="dxa" w:w="4082"/>
          </w:tcPr>
          <w:p>
            <w:pPr>
              <w:spacing w:after="20" w:before="20"/>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併設の判断は、公表画面の建物名の欄又は特色の欄の記載、北海道の届出済有料老人ホーム一覧及び住所地特例適用施設一覧との所在地の一致によります。訪問介護員等181人のうち128人（70.7%）が、住宅型有料老人ホーム、サービス付き高齢者向け住宅又は介護付有料老人ホームに併設された事業所に所属しています。利用者346人のうち225人（65.0%）も同様です。区域内の訪問介護は、居宅で暮らす方への訪問よりも、居住系の住まいの入居者への訪問が主となっています。第４章の在宅サービスの見込量は地域包括ケア「見える化」システムの受給者数によるため算定そのものへの影響はありませんが、本文で訪問介護を「在宅」として記述する際はこの併設の割合を併せて示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サービス見込量」によります。利用率と受給者１人当たりの利用日数・回数を令和7年度の値で固定した基本ケースの値です。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144人、施設336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