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素案（第10版）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2">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7852"/>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5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99"/>
            <w:vAlign w:val="center"/>
          </w:tcPr>
          <w:p>
            <w:pPr>
              <w:spacing w:before="20" w:after="20"/>
            </w:pPr>
            <w:r>
              <w:rPr>
                <w:rFonts w:ascii="游ゴシック" w:hAnsi="游ゴシック" w:eastAsia="游ゴシック"/>
                <w:b w:val="0"/>
                <w:i w:val="0"/>
                <w:sz w:val="17"/>
              </w:rPr>
              <w:t>計画期間</w:t>
            </w:r>
          </w:p>
        </w:tc>
        <w:tc>
          <w:tcPr>
            <w:tcW w:type="dxa" w:w="7852"/>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899"/>
            <w:vAlign w:val="center"/>
          </w:tcPr>
          <w:p>
            <w:pPr>
              <w:spacing w:before="20" w:after="20"/>
            </w:pPr>
            <w:r>
              <w:rPr>
                <w:rFonts w:ascii="游ゴシック" w:hAnsi="游ゴシック" w:eastAsia="游ゴシック"/>
                <w:b w:val="0"/>
                <w:i w:val="0"/>
                <w:sz w:val="17"/>
              </w:rPr>
              <w:t>位置づけ</w:t>
            </w:r>
          </w:p>
        </w:tc>
        <w:tc>
          <w:tcPr>
            <w:tcW w:type="dxa" w:w="7852"/>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899"/>
            <w:vAlign w:val="center"/>
          </w:tcPr>
          <w:p>
            <w:pPr>
              <w:spacing w:before="20" w:after="20"/>
            </w:pPr>
            <w:r>
              <w:rPr>
                <w:rFonts w:ascii="游ゴシック" w:hAnsi="游ゴシック" w:eastAsia="游ゴシック"/>
                <w:b w:val="0"/>
                <w:i w:val="0"/>
                <w:sz w:val="17"/>
              </w:rPr>
              <w:t>第1版からの変更</w:t>
            </w:r>
          </w:p>
        </w:tc>
        <w:tc>
          <w:tcPr>
            <w:tcW w:type="dxa" w:w="7852"/>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899"/>
            <w:vAlign w:val="center"/>
          </w:tcPr>
          <w:p>
            <w:pPr>
              <w:spacing w:before="20" w:after="20"/>
            </w:pPr>
            <w:r>
              <w:rPr>
                <w:rFonts w:ascii="游ゴシック" w:hAnsi="游ゴシック" w:eastAsia="游ゴシック"/>
                <w:b w:val="0"/>
                <w:i w:val="0"/>
                <w:sz w:val="17"/>
              </w:rPr>
              <w:t>第7版（令和8年9月29日）の変更</w:t>
            </w:r>
          </w:p>
        </w:tc>
        <w:tc>
          <w:tcPr>
            <w:tcW w:type="dxa" w:w="7852"/>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899"/>
            <w:vAlign w:val="center"/>
          </w:tcPr>
          <w:p>
            <w:pPr>
              <w:spacing w:before="20" w:after="20"/>
            </w:pPr>
            <w:r>
              <w:rPr>
                <w:rFonts w:ascii="游ゴシック" w:hAnsi="游ゴシック" w:eastAsia="游ゴシック"/>
                <w:b w:val="0"/>
                <w:i w:val="0"/>
                <w:sz w:val="17"/>
              </w:rPr>
              <w:t>第8版（令和8年10月4日）の変更</w:t>
            </w:r>
          </w:p>
        </w:tc>
        <w:tc>
          <w:tcPr>
            <w:tcW w:type="dxa" w:w="7852"/>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899"/>
            <w:vAlign w:val="center"/>
          </w:tcPr>
          <w:p>
            <w:pPr>
              <w:spacing w:before="20" w:after="20"/>
            </w:pPr>
            <w:r>
              <w:rPr>
                <w:rFonts w:ascii="游ゴシック" w:hAnsi="游ゴシック" w:eastAsia="游ゴシック"/>
                <w:b w:val="0"/>
                <w:i w:val="0"/>
                <w:sz w:val="17"/>
              </w:rPr>
              <w:t>第9版（令和8年10月5日）の変更</w:t>
            </w:r>
          </w:p>
        </w:tc>
        <w:tc>
          <w:tcPr>
            <w:tcW w:type="dxa" w:w="7852"/>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899"/>
            <w:vAlign w:val="center"/>
          </w:tcPr>
          <w:p>
            <w:pPr>
              <w:spacing w:before="20" w:after="20"/>
            </w:pPr>
            <w:r>
              <w:rPr>
                <w:rFonts w:ascii="游ゴシック" w:hAnsi="游ゴシック" w:eastAsia="游ゴシック"/>
                <w:b/>
                <w:i w:val="0"/>
                <w:sz w:val="17"/>
              </w:rPr>
              <w:t>本版（第10版・令和8年10月14日）の変更</w:t>
            </w:r>
          </w:p>
        </w:tc>
        <w:tc>
          <w:tcPr>
            <w:tcW w:type="dxa" w:w="7852"/>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①第6章11「将来に向けたサービス提供体制の確保に関する施策」を新設</w:t>
            </w:r>
            <w:r>
              <w:rPr>
                <w:rFonts w:ascii="游ゴシック" w:hAnsi="游ゴシック" w:eastAsia="游ゴシック"/>
                <w:b w:val="0"/>
                <w:i w:val="0"/>
                <w:sz w:val="17"/>
              </w:rPr>
              <w:t>（第6章10の中長期の推計と対になる記載事項）。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899"/>
            <w:vAlign w:val="center"/>
          </w:tcPr>
          <w:p>
            <w:pPr>
              <w:spacing w:before="20" w:after="20"/>
            </w:pPr>
            <w:r>
              <w:rPr>
                <w:rFonts w:ascii="游ゴシック" w:hAnsi="游ゴシック" w:eastAsia="游ゴシック"/>
                <w:b w:val="0"/>
                <w:i w:val="0"/>
                <w:sz w:val="17"/>
              </w:rPr>
              <w:t>確定していない事項の表示</w:t>
            </w:r>
          </w:p>
        </w:tc>
        <w:tc>
          <w:tcPr>
            <w:tcW w:type="dxa" w:w="7852"/>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本素案には確定していない箇所が154あります。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4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町からのデータ受領を待っているのは80箇所（51.9％）で、最も多いのは協議会で設定する成果指標の目標値55箇所（35.7％）です。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35.7％</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80</w:t>
            </w:r>
          </w:p>
        </w:tc>
        <w:tc>
          <w:tcPr>
            <w:tcW w:type="dxa" w:w="1314"/>
            <w:vAlign w:val="center"/>
          </w:tcPr>
          <w:p>
            <w:pPr>
              <w:spacing w:before="20" w:after="20"/>
            </w:pPr>
            <w:r>
              <w:rPr>
                <w:rFonts w:ascii="游ゴシック" w:hAnsi="游ゴシック" w:eastAsia="游ゴシック"/>
                <w:b/>
                <w:i w:val="0"/>
                <w:sz w:val="17"/>
              </w:rPr>
              <w:t>51.9％</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8.4％</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3.9％</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5"/>
        <w:gridCol w:w="7406"/>
      </w:tblGrid>
      <w:tr>
        <w:tc>
          <w:tcPr>
            <w:tcW w:type="dxa" w:w="2345"/>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0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345"/>
            <w:vAlign w:val="center"/>
          </w:tcPr>
          <w:p>
            <w:pPr>
              <w:spacing w:before="20" w:after="20"/>
            </w:pPr>
            <w:r>
              <w:rPr>
                <w:rFonts w:ascii="游ゴシック" w:hAnsi="游ゴシック" w:eastAsia="游ゴシック"/>
                <w:b w:val="0"/>
                <w:i w:val="0"/>
                <w:sz w:val="17"/>
              </w:rPr>
              <w:t>第1章　計画策定にあたって</w:t>
            </w:r>
          </w:p>
        </w:tc>
        <w:tc>
          <w:tcPr>
            <w:tcW w:type="dxa" w:w="740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345"/>
            <w:vAlign w:val="center"/>
          </w:tcPr>
          <w:p>
            <w:pPr>
              <w:spacing w:before="20" w:after="20"/>
            </w:pPr>
            <w:r>
              <w:rPr>
                <w:rFonts w:ascii="游ゴシック" w:hAnsi="游ゴシック" w:eastAsia="游ゴシック"/>
                <w:b w:val="0"/>
                <w:i w:val="0"/>
                <w:sz w:val="17"/>
              </w:rPr>
              <w:t>第2章　小野町の高齢者・介護等の状況</w:t>
            </w:r>
          </w:p>
        </w:tc>
        <w:tc>
          <w:tcPr>
            <w:tcW w:type="dxa" w:w="740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345"/>
            <w:vAlign w:val="center"/>
          </w:tcPr>
          <w:p>
            <w:pPr>
              <w:spacing w:before="20" w:after="20"/>
            </w:pPr>
            <w:r>
              <w:rPr>
                <w:rFonts w:ascii="游ゴシック" w:hAnsi="游ゴシック" w:eastAsia="游ゴシック"/>
                <w:b/>
                <w:i w:val="0"/>
                <w:sz w:val="17"/>
              </w:rPr>
              <w:t>第3章　第9期計画の実施状況と評価</w:t>
            </w:r>
          </w:p>
        </w:tc>
        <w:tc>
          <w:tcPr>
            <w:tcW w:type="dxa" w:w="740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345"/>
            <w:vAlign w:val="center"/>
          </w:tcPr>
          <w:p>
            <w:pPr>
              <w:spacing w:before="20" w:after="20"/>
            </w:pPr>
            <w:r>
              <w:rPr>
                <w:rFonts w:ascii="游ゴシック" w:hAnsi="游ゴシック" w:eastAsia="游ゴシック"/>
                <w:b w:val="0"/>
                <w:i w:val="0"/>
                <w:sz w:val="17"/>
              </w:rPr>
              <w:t>第4章　計画の基本的考え方</w:t>
            </w:r>
          </w:p>
        </w:tc>
        <w:tc>
          <w:tcPr>
            <w:tcW w:type="dxa" w:w="740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345"/>
            <w:vAlign w:val="center"/>
          </w:tcPr>
          <w:p>
            <w:pPr>
              <w:spacing w:before="20" w:after="20"/>
            </w:pPr>
            <w:r>
              <w:rPr>
                <w:rFonts w:ascii="游ゴシック" w:hAnsi="游ゴシック" w:eastAsia="游ゴシック"/>
                <w:b w:val="0"/>
                <w:i w:val="0"/>
                <w:sz w:val="17"/>
              </w:rPr>
              <w:t>第5章　施策の展開</w:t>
            </w:r>
          </w:p>
        </w:tc>
        <w:tc>
          <w:tcPr>
            <w:tcW w:type="dxa" w:w="740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345"/>
            <w:vAlign w:val="center"/>
          </w:tcPr>
          <w:p>
            <w:pPr>
              <w:spacing w:before="20" w:after="20"/>
            </w:pPr>
            <w:r>
              <w:rPr>
                <w:rFonts w:ascii="游ゴシック" w:hAnsi="游ゴシック" w:eastAsia="游ゴシック"/>
                <w:b/>
                <w:i w:val="0"/>
                <w:sz w:val="17"/>
              </w:rPr>
              <w:t>第6章　介護保険事業等の見込み</w:t>
            </w:r>
          </w:p>
        </w:tc>
        <w:tc>
          <w:tcPr>
            <w:tcW w:type="dxa" w:w="7406"/>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介護施設整備に係る基本方針と必要利用定員総数／9 低所得者支援／10 中長期の見通し／11 将来に向けたサービス提供体制の確保に関する施策</w:t>
            </w:r>
          </w:p>
        </w:tc>
      </w:tr>
      <w:tr>
        <w:tc>
          <w:tcPr>
            <w:tcW w:type="dxa" w:w="2345"/>
            <w:vAlign w:val="center"/>
          </w:tcPr>
          <w:p>
            <w:pPr>
              <w:spacing w:before="20" w:after="20"/>
            </w:pPr>
            <w:r>
              <w:rPr>
                <w:rFonts w:ascii="游ゴシック" w:hAnsi="游ゴシック" w:eastAsia="游ゴシック"/>
                <w:b w:val="0"/>
                <w:i w:val="0"/>
                <w:sz w:val="17"/>
              </w:rPr>
              <w:t>資料編</w:t>
            </w:r>
          </w:p>
        </w:tc>
        <w:tc>
          <w:tcPr>
            <w:tcW w:type="dxa" w:w="740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keepNext/>
              <w:spacing w:before="20" w:after="20"/>
            </w:pPr>
            <w:r>
              <w:rPr>
                <w:rFonts w:ascii="游ゴシック" w:hAnsi="游ゴシック" w:eastAsia="游ゴシック"/>
                <w:b w:val="0"/>
                <w:i w:val="0"/>
                <w:sz w:val="17"/>
              </w:rPr>
              <w:t>高齢者向け住まい</w:t>
            </w:r>
          </w:p>
        </w:tc>
        <w:tc>
          <w:tcPr>
            <w:tcW w:type="dxa" w:w="3632"/>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keepNext/>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981"/>
        <w:gridCol w:w="3644"/>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81"/>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364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2126"/>
            <w:vAlign w:val="center"/>
          </w:tcPr>
          <w:p>
            <w:pPr>
              <w:spacing w:before="20" w:after="20"/>
            </w:pPr>
            <w:r>
              <w:rPr>
                <w:rFonts w:ascii="游ゴシック" w:hAnsi="游ゴシック" w:eastAsia="游ゴシック"/>
                <w:b/>
                <w:i w:val="0"/>
                <w:sz w:val="17"/>
              </w:rPr>
              <w:t>第1号被保険者負担割合（政令）</w:t>
            </w:r>
          </w:p>
        </w:tc>
        <w:tc>
          <w:tcPr>
            <w:tcW w:type="dxa" w:w="3981"/>
            <w:vAlign w:val="center"/>
          </w:tcPr>
          <w:p>
            <w:pPr>
              <w:spacing w:before="20" w:after="20"/>
            </w:pPr>
            <w:r>
              <w:rPr>
                <w:rFonts w:ascii="游ゴシック" w:hAnsi="游ゴシック" w:eastAsia="游ゴシック"/>
                <w:b/>
                <w:i w:val="0"/>
                <w:sz w:val="17"/>
              </w:rPr>
              <w:t>保険料基準額。1ポイントで月額269円動く</w:t>
            </w:r>
          </w:p>
        </w:tc>
        <w:tc>
          <w:tcPr>
            <w:tcW w:type="dxa" w:w="3644"/>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2126"/>
            <w:vAlign w:val="center"/>
          </w:tcPr>
          <w:p>
            <w:pPr>
              <w:spacing w:before="20" w:after="20"/>
            </w:pPr>
            <w:r>
              <w:rPr>
                <w:rFonts w:ascii="游ゴシック" w:hAnsi="游ゴシック" w:eastAsia="游ゴシック"/>
                <w:b/>
                <w:i w:val="0"/>
                <w:sz w:val="17"/>
              </w:rPr>
              <w:t>介護報酬の改定率</w:t>
            </w:r>
          </w:p>
        </w:tc>
        <w:tc>
          <w:tcPr>
            <w:tcW w:type="dxa" w:w="3981"/>
            <w:vAlign w:val="center"/>
          </w:tcPr>
          <w:p>
            <w:pPr>
              <w:spacing w:before="20" w:after="20"/>
            </w:pPr>
            <w:r>
              <w:rPr>
                <w:rFonts w:ascii="游ゴシック" w:hAnsi="游ゴシック" w:eastAsia="游ゴシック"/>
                <w:b/>
                <w:i w:val="0"/>
                <w:sz w:val="17"/>
              </w:rPr>
              <w:t>サービス単価、総給付費、保険料基準額</w:t>
            </w:r>
          </w:p>
        </w:tc>
        <w:tc>
          <w:tcPr>
            <w:tcW w:type="dxa" w:w="3644"/>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2126"/>
            <w:vAlign w:val="center"/>
          </w:tcPr>
          <w:p>
            <w:pPr>
              <w:spacing w:before="20" w:after="20"/>
            </w:pPr>
            <w:r>
              <w:rPr>
                <w:rFonts w:ascii="游ゴシック" w:hAnsi="游ゴシック" w:eastAsia="游ゴシック"/>
                <w:b w:val="0"/>
                <w:i w:val="0"/>
                <w:sz w:val="17"/>
              </w:rPr>
              <w:t>給付と負担の見直し</w:t>
            </w:r>
          </w:p>
        </w:tc>
        <w:tc>
          <w:tcPr>
            <w:tcW w:type="dxa" w:w="3981"/>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3644"/>
            <w:vAlign w:val="center"/>
          </w:tcPr>
          <w:p>
            <w:pPr>
              <w:spacing w:before="20" w:after="20"/>
            </w:pPr>
            <w:r>
              <w:rPr>
                <w:rFonts w:ascii="游ゴシック" w:hAnsi="游ゴシック" w:eastAsia="游ゴシック"/>
                <w:b w:val="0"/>
                <w:i w:val="0"/>
                <w:sz w:val="17"/>
              </w:rPr>
              <w:t>【町データ待ち】</w:t>
            </w:r>
          </w:p>
        </w:tc>
      </w:tr>
      <w:tr>
        <w:tc>
          <w:tcPr>
            <w:tcW w:type="dxa" w:w="2126"/>
            <w:vAlign w:val="center"/>
          </w:tcPr>
          <w:p>
            <w:pPr>
              <w:spacing w:before="20" w:after="20"/>
            </w:pPr>
            <w:r>
              <w:rPr>
                <w:rFonts w:ascii="游ゴシック" w:hAnsi="游ゴシック" w:eastAsia="游ゴシック"/>
                <w:b w:val="0"/>
                <w:i w:val="0"/>
                <w:sz w:val="17"/>
              </w:rPr>
              <w:t>地域支援事業の見直し</w:t>
            </w:r>
          </w:p>
        </w:tc>
        <w:tc>
          <w:tcPr>
            <w:tcW w:type="dxa" w:w="3981"/>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3644"/>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21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981"/>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3644"/>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21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981"/>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①介護サービス量の中長期的な推計（第6章10）②将来に向けたサービス提供体制の確保に関する施策（第6章11）③医療と介護の連携の状況・有料老人ホーム等の入居定員の勘案（第2章5・第6章2）</w:t>
            </w:r>
          </w:p>
        </w:tc>
        <w:tc>
          <w:tcPr>
            <w:tcW w:type="dxa" w:w="3644"/>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2126"/>
            <w:vAlign w:val="center"/>
          </w:tcPr>
          <w:p>
            <w:pPr>
              <w:spacing w:before="20" w:after="20"/>
            </w:pPr>
            <w:r>
              <w:rPr>
                <w:rFonts w:ascii="游ゴシック" w:hAnsi="游ゴシック" w:eastAsia="游ゴシック"/>
                <w:b w:val="0"/>
                <w:i w:val="0"/>
                <w:sz w:val="17"/>
              </w:rPr>
              <w:t>同（適用の可否を確かめるもの）</w:t>
            </w:r>
          </w:p>
        </w:tc>
        <w:tc>
          <w:tcPr>
            <w:tcW w:type="dxa" w:w="3981"/>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3644"/>
            <w:vAlign w:val="center"/>
          </w:tcPr>
          <w:p>
            <w:pPr>
              <w:spacing w:before="20" w:after="20"/>
            </w:pPr>
            <w:r>
              <w:rPr>
                <w:rFonts w:ascii="游ゴシック" w:hAnsi="游ゴシック" w:eastAsia="游ゴシック"/>
                <w:b/>
                <w:i w:val="0"/>
                <w:sz w:val="17"/>
              </w:rPr>
              <w:t>対象地域は国が高齢者の人口密度・高齢者人口の減少などに着目した客観的な基準を定める。過疎地域であることが対象を意味しない。本町が対象となるかは【町データ待ち】であり、本文には書いていない</w:t>
            </w:r>
          </w:p>
        </w:tc>
      </w:tr>
      <w:tr>
        <w:tc>
          <w:tcPr>
            <w:tcW w:type="dxa" w:w="2126"/>
            <w:vAlign w:val="center"/>
          </w:tcPr>
          <w:p>
            <w:pPr>
              <w:spacing w:before="20" w:after="20"/>
            </w:pPr>
            <w:r>
              <w:rPr>
                <w:rFonts w:ascii="游ゴシック" w:hAnsi="游ゴシック" w:eastAsia="游ゴシック"/>
                <w:b/>
                <w:i w:val="0"/>
                <w:sz w:val="17"/>
              </w:rPr>
              <w:t>民法等の一部を改正する法律（令和8年法律第45号）</w:t>
            </w:r>
          </w:p>
        </w:tc>
        <w:tc>
          <w:tcPr>
            <w:tcW w:type="dxa" w:w="3981"/>
            <w:vAlign w:val="center"/>
          </w:tcPr>
          <w:p>
            <w:pPr>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3644"/>
            <w:vAlign w:val="center"/>
          </w:tcPr>
          <w:p>
            <w:pPr>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21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981"/>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3644"/>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keepNext/>
              <w:spacing w:before="20" w:after="20"/>
            </w:pPr>
            <w:r>
              <w:rPr>
                <w:rFonts w:ascii="游ゴシック" w:hAnsi="游ゴシック" w:eastAsia="游ゴシック"/>
                <w:b w:val="0"/>
                <w:i w:val="0"/>
                <w:sz w:val="17"/>
              </w:rPr>
              <w:t>交通事情</w:t>
            </w:r>
          </w:p>
        </w:tc>
        <w:tc>
          <w:tcPr>
            <w:tcW w:type="dxa" w:w="4538"/>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keepNext/>
              <w:spacing w:before="20" w:after="20"/>
            </w:pPr>
            <w:r>
              <w:rPr>
                <w:rFonts w:ascii="游ゴシック" w:hAnsi="游ゴシック" w:eastAsia="游ゴシック"/>
                <w:b w:val="0"/>
                <w:i w:val="0"/>
                <w:sz w:val="17"/>
              </w:rPr>
              <w:t>令和7年度調査</w:t>
            </w:r>
          </w:p>
        </w:tc>
        <w:tc>
          <w:tcPr>
            <w:tcW w:type="dxa" w:w="7057"/>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社会福祉法等の一部を改正する法律（令和8年法律第51号）により、市町村介護保険事業計画においてサービスの見込量を定めるにあたり、</w:t>
      </w:r>
      <w:r>
        <w:rPr>
          <w:rFonts w:ascii="游ゴシック" w:hAnsi="游ゴシック" w:eastAsia="游ゴシック"/>
          <w:b/>
          <w:i w:val="0"/>
          <w:sz w:val="21"/>
        </w:rPr>
        <w:t>医療と介護の連携の状況</w:t>
      </w:r>
      <w:r>
        <w:rPr>
          <w:rFonts w:ascii="游ゴシック" w:hAnsi="游ゴシック" w:eastAsia="游ゴシック"/>
          <w:b w:val="0"/>
          <w:i w:val="0"/>
          <w:sz w:val="21"/>
        </w:rPr>
        <w:t>、および</w:t>
      </w:r>
      <w:r>
        <w:rPr>
          <w:rFonts w:ascii="游ゴシック" w:hAnsi="游ゴシック" w:eastAsia="游ゴシック"/>
          <w:b/>
          <w:i w:val="0"/>
          <w:sz w:val="21"/>
        </w:rPr>
        <w:t>有料老人ホーム・サービス付き高齢者向け住宅などの入居定員</w:t>
      </w:r>
      <w:r>
        <w:rPr>
          <w:rFonts w:ascii="游ゴシック" w:hAnsi="游ゴシック" w:eastAsia="游ゴシック"/>
          <w:b w:val="0"/>
          <w:i w:val="0"/>
          <w:sz w:val="21"/>
        </w:rPr>
        <w:t>を勘案することが明確化されました（施行　令和9年4月1日）。</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令和8年法律第51号により、これらの入居定員を勘案することが明確化されました。</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3"/>
        <w:gridCol w:w="2096"/>
        <w:gridCol w:w="2096"/>
        <w:gridCol w:w="2096"/>
      </w:tblGrid>
      <w:tr>
        <w:tc>
          <w:tcPr>
            <w:tcW w:type="dxa" w:w="34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96"/>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2096"/>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096"/>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3463"/>
            <w:vAlign w:val="center"/>
          </w:tcPr>
          <w:p>
            <w:pPr>
              <w:spacing w:before="20" w:after="20"/>
            </w:pPr>
            <w:r>
              <w:rPr>
                <w:rFonts w:ascii="游ゴシック" w:hAnsi="游ゴシック" w:eastAsia="游ゴシック"/>
                <w:b w:val="0"/>
                <w:i w:val="0"/>
                <w:sz w:val="17"/>
              </w:rPr>
              <w:t>有料老人ホーム（介護付き・特定施設入居者生活介護）</w:t>
            </w:r>
          </w:p>
        </w:tc>
        <w:tc>
          <w:tcPr>
            <w:tcW w:type="dxa" w:w="2096"/>
            <w:vAlign w:val="center"/>
          </w:tcPr>
          <w:p>
            <w:pPr>
              <w:spacing w:before="20" w:after="20"/>
            </w:pPr>
            <w:r>
              <w:rPr>
                <w:rFonts w:ascii="游ゴシック" w:hAnsi="游ゴシック" w:eastAsia="游ゴシック"/>
                <w:b w:val="0"/>
                <w:i w:val="0"/>
                <w:sz w:val="17"/>
              </w:rPr>
              <w:t>【町データ待ち】</w:t>
            </w:r>
          </w:p>
        </w:tc>
        <w:tc>
          <w:tcPr>
            <w:tcW w:type="dxa" w:w="2096"/>
            <w:vAlign w:val="center"/>
          </w:tcPr>
          <w:p>
            <w:pPr>
              <w:spacing w:before="20" w:after="20"/>
            </w:pPr>
            <w:r>
              <w:rPr>
                <w:rFonts w:ascii="游ゴシック" w:hAnsi="游ゴシック" w:eastAsia="游ゴシック"/>
                <w:b w:val="0"/>
                <w:i w:val="0"/>
                <w:sz w:val="17"/>
              </w:rPr>
              <w:t>【町データ待ち】</w:t>
            </w:r>
          </w:p>
        </w:tc>
        <w:tc>
          <w:tcPr>
            <w:tcW w:type="dxa" w:w="2096"/>
            <w:vAlign w:val="center"/>
          </w:tcPr>
          <w:p>
            <w:pPr>
              <w:spacing w:before="20" w:after="20"/>
            </w:pPr>
            <w:r>
              <w:rPr>
                <w:rFonts w:ascii="游ゴシック" w:hAnsi="游ゴシック" w:eastAsia="游ゴシック"/>
                <w:b w:val="0"/>
                <w:i w:val="0"/>
                <w:sz w:val="17"/>
              </w:rPr>
              <w:t>【町データ待ち】</w:t>
            </w:r>
          </w:p>
        </w:tc>
      </w:tr>
      <w:tr>
        <w:tc>
          <w:tcPr>
            <w:tcW w:type="dxa" w:w="3463"/>
            <w:vAlign w:val="center"/>
          </w:tcPr>
          <w:p>
            <w:pPr>
              <w:spacing w:before="20" w:after="20"/>
            </w:pPr>
            <w:r>
              <w:rPr>
                <w:rFonts w:ascii="游ゴシック" w:hAnsi="游ゴシック" w:eastAsia="游ゴシック"/>
                <w:b w:val="0"/>
                <w:i w:val="0"/>
                <w:sz w:val="17"/>
              </w:rPr>
              <w:t>有料老人ホーム（住宅型）</w:t>
            </w:r>
          </w:p>
        </w:tc>
        <w:tc>
          <w:tcPr>
            <w:tcW w:type="dxa" w:w="2096"/>
            <w:vAlign w:val="center"/>
          </w:tcPr>
          <w:p>
            <w:pPr>
              <w:spacing w:before="20" w:after="20"/>
            </w:pPr>
            <w:r>
              <w:rPr>
                <w:rFonts w:ascii="游ゴシック" w:hAnsi="游ゴシック" w:eastAsia="游ゴシック"/>
                <w:b w:val="0"/>
                <w:i w:val="0"/>
                <w:sz w:val="17"/>
              </w:rPr>
              <w:t>【町データ待ち】</w:t>
            </w:r>
          </w:p>
        </w:tc>
        <w:tc>
          <w:tcPr>
            <w:tcW w:type="dxa" w:w="2096"/>
            <w:vAlign w:val="center"/>
          </w:tcPr>
          <w:p>
            <w:pPr>
              <w:spacing w:before="20" w:after="20"/>
            </w:pPr>
            <w:r>
              <w:rPr>
                <w:rFonts w:ascii="游ゴシック" w:hAnsi="游ゴシック" w:eastAsia="游ゴシック"/>
                <w:b w:val="0"/>
                <w:i w:val="0"/>
                <w:sz w:val="17"/>
              </w:rPr>
              <w:t>【町データ待ち】</w:t>
            </w:r>
          </w:p>
        </w:tc>
        <w:tc>
          <w:tcPr>
            <w:tcW w:type="dxa" w:w="2096"/>
            <w:vAlign w:val="center"/>
          </w:tcPr>
          <w:p>
            <w:pPr>
              <w:spacing w:before="20" w:after="20"/>
            </w:pPr>
            <w:r>
              <w:rPr>
                <w:rFonts w:ascii="游ゴシック" w:hAnsi="游ゴシック" w:eastAsia="游ゴシック"/>
                <w:b w:val="0"/>
                <w:i w:val="0"/>
                <w:sz w:val="17"/>
              </w:rPr>
              <w:t>【町データ待ち】</w:t>
            </w:r>
          </w:p>
        </w:tc>
      </w:tr>
      <w:tr>
        <w:tc>
          <w:tcPr>
            <w:tcW w:type="dxa" w:w="3463"/>
            <w:vAlign w:val="center"/>
          </w:tcPr>
          <w:p>
            <w:pPr>
              <w:keepNext/>
              <w:spacing w:before="20" w:after="20"/>
            </w:pPr>
            <w:r>
              <w:rPr>
                <w:rFonts w:ascii="游ゴシック" w:hAnsi="游ゴシック" w:eastAsia="游ゴシック"/>
                <w:b w:val="0"/>
                <w:i w:val="0"/>
                <w:sz w:val="17"/>
              </w:rPr>
              <w:t>サービス付き高齢者向け住宅</w:t>
            </w:r>
          </w:p>
        </w:tc>
        <w:tc>
          <w:tcPr>
            <w:tcW w:type="dxa" w:w="2096"/>
            <w:vAlign w:val="center"/>
          </w:tcPr>
          <w:p>
            <w:pPr>
              <w:keepNext/>
              <w:spacing w:before="20" w:after="20"/>
            </w:pPr>
            <w:r>
              <w:rPr>
                <w:rFonts w:ascii="游ゴシック" w:hAnsi="游ゴシック" w:eastAsia="游ゴシック"/>
                <w:b w:val="0"/>
                <w:i w:val="0"/>
                <w:sz w:val="17"/>
              </w:rPr>
              <w:t>【町データ待ち】</w:t>
            </w:r>
          </w:p>
        </w:tc>
        <w:tc>
          <w:tcPr>
            <w:tcW w:type="dxa" w:w="2096"/>
            <w:vAlign w:val="center"/>
          </w:tcPr>
          <w:p>
            <w:pPr>
              <w:keepNext/>
              <w:spacing w:before="20" w:after="20"/>
            </w:pPr>
            <w:r>
              <w:rPr>
                <w:rFonts w:ascii="游ゴシック" w:hAnsi="游ゴシック" w:eastAsia="游ゴシック"/>
                <w:b w:val="0"/>
                <w:i w:val="0"/>
                <w:sz w:val="17"/>
              </w:rPr>
              <w:t>【町データ待ち】</w:t>
            </w:r>
          </w:p>
        </w:tc>
        <w:tc>
          <w:tcPr>
            <w:tcW w:type="dxa" w:w="2096"/>
            <w:vAlign w:val="center"/>
          </w:tcPr>
          <w:p>
            <w:pPr>
              <w:keepNext/>
              <w:spacing w:before="20" w:after="20"/>
            </w:pPr>
            <w:r>
              <w:rPr>
                <w:rFonts w:ascii="游ゴシック" w:hAnsi="游ゴシック" w:eastAsia="游ゴシック"/>
                <w:b w:val="0"/>
                <w:i w:val="0"/>
                <w:sz w:val="17"/>
              </w:rPr>
              <w:t>【町データ待ち】</w:t>
            </w:r>
          </w:p>
        </w:tc>
      </w:tr>
      <w:tr>
        <w:tc>
          <w:tcPr>
            <w:tcW w:type="dxa" w:w="3463"/>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2096"/>
            <w:vAlign w:val="center"/>
          </w:tcPr>
          <w:p>
            <w:pPr>
              <w:spacing w:before="20" w:after="20"/>
            </w:pPr>
            <w:r>
              <w:rPr>
                <w:rFonts w:ascii="游ゴシック" w:hAnsi="游ゴシック" w:eastAsia="游ゴシック"/>
                <w:b w:val="0"/>
                <w:i w:val="0"/>
                <w:sz w:val="17"/>
              </w:rPr>
              <w:t>【町データ待ち】</w:t>
            </w:r>
          </w:p>
        </w:tc>
        <w:tc>
          <w:tcPr>
            <w:tcW w:type="dxa" w:w="2096"/>
            <w:vAlign w:val="center"/>
          </w:tcPr>
          <w:p>
            <w:pPr>
              <w:spacing w:before="20" w:after="20"/>
            </w:pPr>
            <w:r>
              <w:rPr>
                <w:rFonts w:ascii="游ゴシック" w:hAnsi="游ゴシック" w:eastAsia="游ゴシック"/>
                <w:b w:val="0"/>
                <w:i w:val="0"/>
                <w:sz w:val="17"/>
              </w:rPr>
              <w:t>【町データ待ち】</w:t>
            </w:r>
          </w:p>
        </w:tc>
        <w:tc>
          <w:tcPr>
            <w:tcW w:type="dxa" w:w="2096"/>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令和8年法律第51号は、あわせて中重度等の要介護者を入居させる有料老人ホームについて都道府県等への登録制度を導入し、入居者の相談支援を行う「登録施設介護支援」を新設します。</w:t>
      </w:r>
      <w:r>
        <w:rPr>
          <w:rFonts w:ascii="游ゴシック" w:hAnsi="游ゴシック" w:eastAsia="游ゴシック"/>
          <w:b w:val="0"/>
          <w:i w:val="0"/>
          <w:sz w:val="17"/>
        </w:rPr>
        <w:t>該当する施設がある場合は、第5章 基本目標2に取扱いを書き加えます。施行日は令和9年4月1日・公布後2年以内・公布後3年以内の3通りが示されており、事項ごとに異なります。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【表33】第2章6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【表34】第2章6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【表35】第2章6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【表36】第2章7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keepNext/>
              <w:spacing w:before="20" w:after="20"/>
            </w:pPr>
            <w:r>
              <w:rPr>
                <w:rFonts w:ascii="游ゴシック" w:hAnsi="游ゴシック" w:eastAsia="游ゴシック"/>
                <w:b/>
                <w:i w:val="0"/>
                <w:sz w:val="17"/>
              </w:rPr>
              <w:t>多様なサービス・活動の実施状況</w:t>
            </w:r>
          </w:p>
        </w:tc>
        <w:tc>
          <w:tcPr>
            <w:tcW w:type="dxa" w:w="7933"/>
            <w:vAlign w:val="center"/>
          </w:tcPr>
          <w:p>
            <w:pPr>
              <w:keepNext/>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【表37】第2章7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【表38】第2章7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【表39】第3章1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【表40】第3章2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【表41】第3章3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【表42】第3章3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【表43】第3章3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【表44】第3章4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【表45】第4章1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【表46】第4章2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【表47】第4章2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【表48】第4章3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【表49】第4章3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【表50】第4章4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spacing w:before="20" w:after="20"/>
            </w:pPr>
            <w:r>
              <w:rPr>
                <w:rFonts w:ascii="游ゴシック" w:hAnsi="游ゴシック" w:eastAsia="游ゴシック"/>
                <w:b w:val="0"/>
                <w:i w:val="0"/>
                <w:sz w:val="17"/>
              </w:rPr>
              <w:t>9</w:t>
            </w:r>
          </w:p>
        </w:tc>
        <w:tc>
          <w:tcPr>
            <w:tcW w:type="dxa" w:w="1928"/>
            <w:vAlign w:val="center"/>
          </w:tcPr>
          <w:p>
            <w:pPr>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本節に掲げた制度の内容について、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【表51】第4章4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803"/>
            <w:vAlign w:val="center"/>
          </w:tcPr>
          <w:p>
            <w:pPr>
              <w:keepNext/>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keepNext/>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【表52】第5章基本目標1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【表53】第5章基本目標1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【表55】第5章基本目標1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【表56】第5章基本目標1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【表57】第5章基本目標1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【表58】第5章基本目標1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【表60】第5章基本目標1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【表61】第5章基本目標1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【表63】第5章基本目標2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【表64】第5章基本目標2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【表66】第5章基本目標2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【表67】第5章基本目標2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【表69】第5章基本目標2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spacing w:before="20" w:after="20"/>
              <w:jc w:val="right"/>
            </w:pPr>
            <w:r>
              <w:rPr>
                <w:rFonts w:ascii="游ゴシック" w:hAnsi="游ゴシック" w:eastAsia="游ゴシック"/>
                <w:b w:val="0"/>
                <w:i w:val="0"/>
                <w:sz w:val="17"/>
              </w:rPr>
              <w:t>33.00％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【表70】第5章基本目標2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【表71】第5章基本目標2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【表72】第5章基本目標2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【表73】第5章基本目標2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【表75】第5章基本目標2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21.20％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【表76】第5章基本目標2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【表77】第5章基本目標2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【表78】第5章基本目標2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【表79】第5章基本目標2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spacing w:before="20" w:after="20"/>
              <w:jc w:val="right"/>
            </w:pPr>
            <w:r>
              <w:rPr>
                <w:rFonts w:ascii="游ゴシック" w:hAnsi="游ゴシック" w:eastAsia="游ゴシック"/>
                <w:b w:val="0"/>
                <w:i w:val="0"/>
                <w:sz w:val="17"/>
              </w:rPr>
              <w:t>25.60％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【表80】第5章基本目標2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【表82】第5章基本目標2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【表83】第5章基本目標2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【表84】第5章基本目標2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【表86】第5章基本目標3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認定者数</w:t>
            </w:r>
          </w:p>
        </w:tc>
        <w:tc>
          <w:tcPr>
            <w:tcW w:type="dxa" w:w="1587"/>
            <w:vAlign w:val="center"/>
          </w:tcPr>
          <w:p>
            <w:pPr>
              <w:spacing w:before="20" w:after="20"/>
              <w:jc w:val="right"/>
            </w:pPr>
            <w:r>
              <w:rPr>
                <w:rFonts w:ascii="游ゴシック" w:hAnsi="游ゴシック" w:eastAsia="游ゴシック"/>
                <w:b w:val="0"/>
                <w:i w:val="0"/>
                <w:sz w:val="17"/>
              </w:rPr>
              <w:t>792人</w:t>
            </w:r>
          </w:p>
        </w:tc>
        <w:tc>
          <w:tcPr>
            <w:tcW w:type="dxa" w:w="1701"/>
            <w:vAlign w:val="center"/>
          </w:tcPr>
          <w:p>
            <w:pPr>
              <w:spacing w:before="20" w:after="20"/>
            </w:pPr>
            <w:r>
              <w:rPr>
                <w:rFonts w:ascii="游ゴシック" w:hAnsi="游ゴシック" w:eastAsia="游ゴシック"/>
                <w:b w:val="0"/>
                <w:i w:val="0"/>
                <w:sz w:val="17"/>
              </w:rPr>
              <w:t>令和7年度末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【表87】第5章基本目標3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【表89】第5章基本目標3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【表90】第5章基本目標3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【表91】第5章基本目標3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【表92】第5章基本目標3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給付月額の県内順位（施設・居住系）</w:t>
            </w:r>
          </w:p>
        </w:tc>
        <w:tc>
          <w:tcPr>
            <w:tcW w:type="dxa" w:w="1587"/>
            <w:vAlign w:val="center"/>
          </w:tcPr>
          <w:p>
            <w:pPr>
              <w:spacing w:before="20" w:after="20"/>
              <w:jc w:val="right"/>
            </w:pPr>
            <w:r>
              <w:rPr>
                <w:rFonts w:ascii="游ゴシック" w:hAnsi="游ゴシック" w:eastAsia="游ゴシック"/>
                <w:b w:val="0"/>
                <w:i w:val="0"/>
                <w:sz w:val="17"/>
              </w:rPr>
              <w:t>33位／59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【表93】第5章基本目標3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【表94】第5章基本目標3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【表95】第5章基本目標3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【表96】要介護認定者数の見込み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w:t>
      </w:r>
    </w:p>
    <w:p>
      <w:pPr>
        <w:spacing w:before="60" w:after="60"/>
      </w:pPr>
      <w:r>
        <w:rPr>
          <w:rFonts w:ascii="游ゴシック" w:hAnsi="游ゴシック" w:eastAsia="游ゴシック"/>
          <w:b w:val="0"/>
          <w:i w:val="0"/>
          <w:sz w:val="21"/>
        </w:rPr>
        <w:t>社会福祉法等の一部を改正する法律（令和8年法律第51号）により、市町村介護保険事業計画においてサービスの見込量を定めるにあたり、</w:t>
      </w:r>
      <w:r>
        <w:rPr>
          <w:rFonts w:ascii="游ゴシック" w:hAnsi="游ゴシック" w:eastAsia="游ゴシック"/>
          <w:b/>
          <w:i w:val="0"/>
          <w:sz w:val="21"/>
        </w:rPr>
        <w:t>①医療と介護の連携の状況</w:t>
      </w:r>
      <w:r>
        <w:rPr>
          <w:rFonts w:ascii="游ゴシック" w:hAnsi="游ゴシック" w:eastAsia="游ゴシック"/>
          <w:b w:val="0"/>
          <w:i w:val="0"/>
          <w:sz w:val="21"/>
        </w:rPr>
        <w:t>および</w:t>
      </w:r>
      <w:r>
        <w:rPr>
          <w:rFonts w:ascii="游ゴシック" w:hAnsi="游ゴシック" w:eastAsia="游ゴシック"/>
          <w:b/>
          <w:i w:val="0"/>
          <w:sz w:val="21"/>
        </w:rPr>
        <w:t>②有料老人ホーム・サービス付き高齢者向け住宅などの入居定員</w:t>
      </w:r>
      <w:r>
        <w:rPr>
          <w:rFonts w:ascii="游ゴシック" w:hAnsi="游ゴシック" w:eastAsia="游ゴシック"/>
          <w:b w:val="0"/>
          <w:i w:val="0"/>
          <w:sz w:val="21"/>
        </w:rPr>
        <w:t>を勘案することが明確化されました（施行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【表97】第6章2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5443"/>
        <w:gridCol w:w="1814"/>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2494"/>
            <w:vAlign w:val="center"/>
          </w:tcPr>
          <w:p>
            <w:pPr>
              <w:keepNext/>
              <w:spacing w:before="20" w:after="20"/>
            </w:pPr>
            <w:r>
              <w:rPr>
                <w:rFonts w:ascii="游ゴシック" w:hAnsi="游ゴシック" w:eastAsia="游ゴシック"/>
                <w:b/>
                <w:i w:val="0"/>
                <w:sz w:val="17"/>
              </w:rPr>
              <w:t>① 医療と介護の連携の状況</w:t>
            </w:r>
          </w:p>
        </w:tc>
        <w:tc>
          <w:tcPr>
            <w:tcW w:type="dxa" w:w="5443"/>
            <w:vAlign w:val="center"/>
          </w:tcPr>
          <w:p>
            <w:pPr>
              <w:keepNext/>
              <w:spacing w:before="20" w:after="20"/>
            </w:pPr>
            <w:r>
              <w:rPr>
                <w:rFonts w:ascii="游ゴシック" w:hAnsi="游ゴシック" w:eastAsia="游ゴシック"/>
                <w:b w:val="0"/>
                <w:i w:val="0"/>
                <w:sz w:val="17"/>
              </w:rPr>
              <w:t>町内に病院はなく、診療所と訪問看護1か所により在宅療養を支えていま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814"/>
            <w:vAlign w:val="center"/>
          </w:tcPr>
          <w:p>
            <w:pPr>
              <w:keepNext/>
              <w:spacing w:before="20" w:after="20"/>
            </w:pPr>
            <w:r>
              <w:rPr>
                <w:rFonts w:ascii="游ゴシック" w:hAnsi="游ゴシック" w:eastAsia="游ゴシック"/>
                <w:b w:val="0"/>
                <w:i w:val="0"/>
                <w:sz w:val="17"/>
              </w:rPr>
              <w:t>第2章5、第5章 基本目標2⑦</w:t>
            </w:r>
          </w:p>
        </w:tc>
      </w:tr>
      <w:tr>
        <w:tc>
          <w:tcPr>
            <w:tcW w:type="dxa" w:w="2494"/>
            <w:vAlign w:val="center"/>
          </w:tcPr>
          <w:p>
            <w:pPr>
              <w:spacing w:before="20" w:after="20"/>
            </w:pPr>
            <w:r>
              <w:rPr>
                <w:rFonts w:ascii="游ゴシック" w:hAnsi="游ゴシック" w:eastAsia="游ゴシック"/>
                <w:b/>
                <w:i w:val="0"/>
                <w:sz w:val="17"/>
              </w:rPr>
              <w:t>② 有料老人ホーム・サービス付き高齢者向け住宅等の入居定員</w:t>
            </w:r>
          </w:p>
        </w:tc>
        <w:tc>
          <w:tcPr>
            <w:tcW w:type="dxa" w:w="5443"/>
            <w:vAlign w:val="center"/>
          </w:tcPr>
          <w:p>
            <w:pPr>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814"/>
            <w:vAlign w:val="center"/>
          </w:tcPr>
          <w:p>
            <w:pPr>
              <w:spacing w:before="20" w:after="20"/>
            </w:pPr>
            <w:r>
              <w:rPr>
                <w:rFonts w:ascii="游ゴシック" w:hAnsi="游ゴシック" w:eastAsia="游ゴシック"/>
                <w:b w:val="0"/>
                <w:i w:val="0"/>
                <w:sz w:val="17"/>
              </w:rPr>
              <w:t>第2章5</w:t>
            </w:r>
          </w:p>
        </w:tc>
      </w:tr>
    </w:tbl>
    <w:p>
      <w:pPr>
        <w:spacing w:after="40"/>
      </w:pPr>
    </w:p>
    <w:p>
      <w:pPr>
        <w:spacing w:before="40" w:after="160"/>
        <w:ind w:left="113"/>
      </w:pPr>
      <w:r>
        <w:rPr>
          <w:rFonts w:ascii="游ゴシック" w:hAnsi="游ゴシック" w:eastAsia="游ゴシック"/>
          <w:b w:val="0"/>
          <w:i w:val="0"/>
          <w:sz w:val="17"/>
        </w:rPr>
        <w:t>資料：社会福祉法等の一部を改正する法律の概要について（厚生労働省・こども家庭庁、令和8年法律第51号）。</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【表98】第6章2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【表99】第6章2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【表100】第6章3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【表101】第6章4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【表102】第6章4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【表103】第6章4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【表104】第6章4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【表105】第6章5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【表106】第6章5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【表107】第6章5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【表108】第6章6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【表109】第6章7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6,057円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p>
      <w:pPr>
        <w:keepNext/>
        <w:spacing w:before="200" w:after="40"/>
      </w:pPr>
      <w:r>
        <w:rPr>
          <w:rFonts w:ascii="游ゴシック" w:hAnsi="游ゴシック" w:eastAsia="游ゴシック"/>
          <w:b/>
          <w:i w:val="0"/>
          <w:color w:val="1F4D78"/>
          <w:sz w:val="22"/>
        </w:rPr>
        <w:t>【表110】第6章7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【表111】第6章8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【表112】地域密着型サービスの必要利用定員総数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低所得者支援</w:t>
      </w:r>
      <w:bookmarkEnd w:id="143"/>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【表113】第6章9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pStyle w:val="Heading2"/>
        <w:keepNext/>
        <w:spacing w:before="180" w:after="100"/>
      </w:pPr>
      <w:bookmarkStart w:id="144" w:name="_Toc_044"/>
      <w:r>
        <w:rPr>
          <w:rFonts w:ascii="游ゴシック" w:hAnsi="游ゴシック" w:eastAsia="游ゴシック"/>
          <w:b/>
          <w:i w:val="0"/>
          <w:color w:val="2E74B5"/>
          <w:sz w:val="25"/>
        </w:rPr>
        <w:t>10　中長期の見通し（令和22年・令和32年）</w:t>
      </w:r>
      <w:bookmarkEnd w:id="144"/>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【表114】第6章10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spacing w:before="20" w:after="20"/>
            </w:pPr>
            <w:r>
              <w:rPr>
                <w:rFonts w:ascii="游ゴシック" w:hAnsi="游ゴシック" w:eastAsia="游ゴシック"/>
                <w:b w:val="0"/>
                <w:i w:val="0"/>
                <w:sz w:val="17"/>
              </w:rPr>
              <w:t>令和27年</w:t>
            </w:r>
          </w:p>
        </w:tc>
        <w:tc>
          <w:tcPr>
            <w:tcW w:type="dxa" w:w="1474"/>
            <w:vAlign w:val="center"/>
          </w:tcPr>
          <w:p>
            <w:pPr>
              <w:spacing w:before="20" w:after="20"/>
              <w:jc w:val="right"/>
            </w:pPr>
            <w:r>
              <w:rPr>
                <w:rFonts w:ascii="游ゴシック" w:hAnsi="游ゴシック" w:eastAsia="游ゴシック"/>
                <w:b w:val="0"/>
                <w:i w:val="0"/>
                <w:sz w:val="17"/>
              </w:rPr>
              <w:t>2,818人</w:t>
            </w:r>
          </w:p>
        </w:tc>
        <w:tc>
          <w:tcPr>
            <w:tcW w:type="dxa" w:w="1296"/>
            <w:vAlign w:val="center"/>
          </w:tcPr>
          <w:p>
            <w:pPr>
              <w:spacing w:before="20" w:after="20"/>
              <w:jc w:val="right"/>
            </w:pPr>
            <w:r>
              <w:rPr>
                <w:rFonts w:ascii="游ゴシック" w:hAnsi="游ゴシック" w:eastAsia="游ゴシック"/>
                <w:b w:val="0"/>
                <w:i w:val="0"/>
                <w:sz w:val="17"/>
              </w:rPr>
              <w:t>872人</w:t>
            </w:r>
          </w:p>
        </w:tc>
        <w:tc>
          <w:tcPr>
            <w:tcW w:type="dxa" w:w="1344"/>
            <w:vAlign w:val="center"/>
          </w:tcPr>
          <w:p>
            <w:pPr>
              <w:spacing w:before="20" w:after="20"/>
              <w:jc w:val="right"/>
            </w:pPr>
            <w:r>
              <w:rPr>
                <w:rFonts w:ascii="游ゴシック" w:hAnsi="游ゴシック" w:eastAsia="游ゴシック"/>
                <w:b w:val="0"/>
                <w:i w:val="0"/>
                <w:sz w:val="17"/>
              </w:rPr>
              <w:t>30.9％</w:t>
            </w:r>
          </w:p>
        </w:tc>
        <w:tc>
          <w:tcPr>
            <w:tcW w:type="dxa" w:w="1474"/>
            <w:vAlign w:val="center"/>
          </w:tcPr>
          <w:p>
            <w:pPr>
              <w:spacing w:before="20" w:after="20"/>
              <w:jc w:val="right"/>
            </w:pPr>
            <w:r>
              <w:rPr>
                <w:rFonts w:ascii="游ゴシック" w:hAnsi="游ゴシック" w:eastAsia="游ゴシック"/>
                <w:b w:val="0"/>
                <w:i w:val="0"/>
                <w:sz w:val="17"/>
              </w:rPr>
              <w:t>1,076百万円</w:t>
            </w:r>
          </w:p>
        </w:tc>
        <w:tc>
          <w:tcPr>
            <w:tcW w:type="dxa" w:w="1474"/>
            <w:vAlign w:val="center"/>
          </w:tcPr>
          <w:p>
            <w:pPr>
              <w:spacing w:before="20" w:after="20"/>
              <w:jc w:val="right"/>
            </w:pPr>
            <w:r>
              <w:rPr>
                <w:rFonts w:ascii="游ゴシック" w:hAnsi="游ゴシック" w:eastAsia="游ゴシック"/>
                <w:b w:val="0"/>
                <w:i w:val="0"/>
                <w:sz w:val="17"/>
              </w:rPr>
              <w:t>381.8千円</w:t>
            </w:r>
          </w:p>
        </w:tc>
        <w:tc>
          <w:tcPr>
            <w:tcW w:type="dxa" w:w="1344"/>
            <w:vAlign w:val="center"/>
          </w:tcPr>
          <w:p>
            <w:pPr>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【表115】第6章10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5" w:name="_Toc_045"/>
      <w:r>
        <w:rPr>
          <w:rFonts w:ascii="游ゴシック" w:hAnsi="游ゴシック" w:eastAsia="游ゴシック"/>
          <w:b/>
          <w:i w:val="0"/>
          <w:color w:val="2E74B5"/>
          <w:sz w:val="25"/>
        </w:rPr>
        <w:t>11　将来に向けたサービス提供体制の確保に関する施策</w:t>
      </w:r>
      <w:bookmarkEnd w:id="145"/>
    </w:p>
    <w:p>
      <w:pPr>
        <w:spacing w:before="60" w:after="60"/>
      </w:pPr>
      <w:r>
        <w:rPr>
          <w:rFonts w:ascii="游ゴシック" w:hAnsi="游ゴシック" w:eastAsia="游ゴシック"/>
          <w:b/>
          <w:i w:val="0"/>
          <w:sz w:val="21"/>
        </w:rPr>
        <w:t>社会福祉法等の一部を改正する法律（令和8年法律第51号）により、市町村介護保険事業計画に「介護サービス量の中長期的な推計」と「将来に向けたサービス提供体制の確保に関する施策」を必ず記載することとされました。</w:t>
      </w:r>
      <w:r>
        <w:rPr>
          <w:rFonts w:ascii="游ゴシック" w:hAnsi="游ゴシック" w:eastAsia="游ゴシック"/>
          <w:b w:val="0"/>
          <w:i w:val="0"/>
          <w:sz w:val="21"/>
        </w:rPr>
        <w:t xml:space="preserve"> 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に当たります。前節10が中長期の推計、本節がそれを受けた施策です。</w:t>
      </w:r>
    </w:p>
    <w:p>
      <w:pPr>
        <w:spacing w:before="40" w:after="160"/>
        <w:ind w:left="113"/>
      </w:pPr>
      <w:r>
        <w:rPr>
          <w:rFonts w:ascii="游ゴシック" w:hAnsi="游ゴシック" w:eastAsia="游ゴシック"/>
          <w:b w:val="0"/>
          <w:i w:val="0"/>
          <w:sz w:val="17"/>
        </w:rPr>
        <w:t>資料：社会福祉法等の一部を改正する法律の概要について（厚生労働省・こども家庭庁、令和8年法律第51号）。※ 第10期の国の基本指針が本改正をどこまで取り込むかは、告示を待って確かめます。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【表116】第6章11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福島県が設置する協議会（福祉人材確保・生産性向上等）に町が参画し、町内・圏域の事業所をつなぎます。</w:t>
            </w:r>
            <w:r>
              <w:rPr>
                <w:rFonts w:ascii="游ゴシック" w:hAnsi="游ゴシック" w:eastAsia="游ゴシック"/>
                <w:b w:val="0"/>
                <w:i w:val="0"/>
                <w:sz w:val="17"/>
              </w:rPr>
              <w:t xml:space="preserve"> 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keepNext/>
              <w:spacing w:before="20" w:after="20"/>
            </w:pPr>
            <w:r>
              <w:rPr>
                <w:rFonts w:ascii="游ゴシック" w:hAnsi="游ゴシック" w:eastAsia="游ゴシック"/>
                <w:b/>
                <w:i w:val="0"/>
                <w:sz w:val="17"/>
              </w:rPr>
              <w:t>技術・効率</w:t>
            </w:r>
          </w:p>
        </w:tc>
        <w:tc>
          <w:tcPr>
            <w:tcW w:type="dxa" w:w="2948"/>
            <w:vAlign w:val="center"/>
          </w:tcPr>
          <w:p>
            <w:pPr>
              <w:keepNext/>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keepNext/>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keepNext/>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住まい</w:t>
            </w:r>
          </w:p>
        </w:tc>
        <w:tc>
          <w:tcPr>
            <w:tcW w:type="dxa" w:w="2948"/>
            <w:vAlign w:val="center"/>
          </w:tcPr>
          <w:p>
            <w:pPr>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spacing w:before="20" w:after="20"/>
            </w:pPr>
            <w:r>
              <w:rPr>
                <w:rFonts w:ascii="游ゴシック" w:hAnsi="游ゴシック" w:eastAsia="游ゴシック"/>
                <w:b w:val="0"/>
                <w:i w:val="0"/>
                <w:sz w:val="17"/>
              </w:rPr>
              <w:t>第2章5、第6章8</w:t>
            </w:r>
          </w:p>
        </w:tc>
      </w:tr>
    </w:tbl>
    <w:p>
      <w:pPr>
        <w:spacing w:after="40"/>
      </w:pPr>
    </w:p>
    <w:p>
      <w:pPr>
        <w:spacing w:before="60" w:after="60"/>
      </w:pPr>
      <w:r>
        <w:rPr>
          <w:rFonts w:ascii="游ゴシック" w:hAnsi="游ゴシック" w:eastAsia="游ゴシック"/>
          <w:b/>
          <w:i w:val="0"/>
          <w:sz w:val="21"/>
        </w:rPr>
        <w:t>本節は、国の示し方が固まるまでの置き方です。</w:t>
      </w:r>
      <w:r>
        <w:rPr>
          <w:rFonts w:ascii="游ゴシック" w:hAnsi="游ゴシック" w:eastAsia="游ゴシック"/>
          <w:b w:val="0"/>
          <w:i w:val="0"/>
          <w:sz w:val="21"/>
        </w:rPr>
        <w:t xml:space="preserve"> 何をどの年次まで推計し、どこまでを施策として書くのかは本改正の施行に合わせて示される見込みであり、県への照会の回答（【町データ待ち】）を得たうえで整えます。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6" w:name="_Toc_046"/>
      <w:r>
        <w:rPr>
          <w:rFonts w:ascii="游ゴシック" w:hAnsi="游ゴシック" w:eastAsia="游ゴシック"/>
          <w:b/>
          <w:i w:val="0"/>
          <w:color w:val="2E74B5"/>
          <w:sz w:val="30"/>
        </w:rPr>
        <w:t>資料編</w:t>
      </w:r>
      <w:bookmarkEnd w:id="146"/>
    </w:p>
    <w:p>
      <w:pPr>
        <w:keepNext/>
        <w:spacing w:before="200" w:after="40"/>
      </w:pPr>
      <w:r>
        <w:rPr>
          <w:rFonts w:ascii="游ゴシック" w:hAnsi="游ゴシック" w:eastAsia="游ゴシック"/>
          <w:b/>
          <w:i w:val="0"/>
          <w:color w:val="1F4D78"/>
          <w:sz w:val="22"/>
        </w:rPr>
        <w:t>【表117】資料編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7" w:name="_Toc_047"/>
      <w:r>
        <w:rPr>
          <w:rFonts w:ascii="游ゴシック" w:hAnsi="游ゴシック" w:eastAsia="游ゴシック"/>
          <w:b/>
          <w:i w:val="0"/>
          <w:color w:val="2E74B5"/>
          <w:sz w:val="25"/>
        </w:rPr>
        <w:t>8　成果指標の定義</w:t>
      </w:r>
      <w:bookmarkEnd w:id="147"/>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【表118】資料編8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8" w:name="_Toc_048"/>
      <w:r>
        <w:rPr>
          <w:rFonts w:ascii="游ゴシック" w:hAnsi="游ゴシック" w:eastAsia="游ゴシック"/>
          <w:b/>
          <w:i w:val="0"/>
          <w:color w:val="2E74B5"/>
          <w:sz w:val="25"/>
        </w:rPr>
        <w:t>9　年次評価の様式</w:t>
      </w:r>
      <w:bookmarkEnd w:id="148"/>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【表119】資料編9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49" w:name="_Toc_049"/>
      <w:r>
        <w:rPr>
          <w:rFonts w:ascii="游ゴシック" w:hAnsi="游ゴシック" w:eastAsia="游ゴシック"/>
          <w:b/>
          <w:i w:val="0"/>
          <w:color w:val="2E74B5"/>
          <w:sz w:val="25"/>
        </w:rPr>
        <w:t>10　施策の見直しの基準</w:t>
      </w:r>
      <w:bookmarkEnd w:id="149"/>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【表120】資料編10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0" w:name="_Toc_050"/>
      <w:r>
        <w:rPr>
          <w:rFonts w:ascii="游ゴシック" w:hAnsi="游ゴシック" w:eastAsia="游ゴシック"/>
          <w:b/>
          <w:i w:val="0"/>
          <w:color w:val="2E74B5"/>
          <w:sz w:val="25"/>
        </w:rPr>
        <w:t>11　主な参照資料</w:t>
      </w:r>
      <w:bookmarkEnd w:id="150"/>
    </w:p>
    <w:p>
      <w:pPr>
        <w:keepNext/>
        <w:spacing w:before="200" w:after="40"/>
      </w:pPr>
      <w:r>
        <w:rPr>
          <w:rFonts w:ascii="游ゴシック" w:hAnsi="游ゴシック" w:eastAsia="游ゴシック"/>
          <w:b/>
          <w:i w:val="0"/>
          <w:color w:val="1F4D78"/>
          <w:sz w:val="22"/>
        </w:rPr>
        <w:t>【表121】資料編11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12　図表番号一覧</w:t>
      </w:r>
      <w:bookmarkEnd w:id="151"/>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第6章11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2" w:name="_Toc_052"/>
      <w:r>
        <w:rPr>
          <w:rFonts w:ascii="游ゴシック" w:hAnsi="游ゴシック" w:eastAsia="游ゴシック"/>
          <w:b/>
          <w:i w:val="0"/>
          <w:color w:val="2E74B5"/>
          <w:sz w:val="30"/>
        </w:rPr>
        <w:t>参考　本素案の確定に必要な事項</w:t>
      </w:r>
      <w:bookmarkEnd w:id="152"/>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