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68"/>
        <w:gridCol w:w="5383"/>
      </w:tblGrid>
      <w:tr>
        <w:tc>
          <w:tcPr>
            <w:tcW w:type="dxa" w:w="43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368"/>
            <w:vAlign w:val="center"/>
          </w:tcPr>
          <w:p>
            <w:pPr>
              <w:spacing w:before="20" w:after="20"/>
            </w:pPr>
            <w:r>
              <w:rPr>
                <w:rFonts w:ascii="游ゴシック" w:hAnsi="游ゴシック" w:eastAsia="游ゴシック"/>
                <w:b w:val="0"/>
                <w:i w:val="0"/>
                <w:sz w:val="17"/>
              </w:rPr>
              <w:t>第1章　計画策定にあたって</w:t>
            </w:r>
          </w:p>
        </w:tc>
        <w:tc>
          <w:tcPr>
            <w:tcW w:type="dxa" w:w="5383"/>
            <w:vAlign w:val="center"/>
          </w:tcPr>
          <w:p>
            <w:pPr>
              <w:spacing w:before="20" w:after="20"/>
            </w:pPr>
            <w:r>
              <w:rPr>
                <w:rFonts w:ascii="游ゴシック" w:hAnsi="游ゴシック" w:eastAsia="游ゴシック"/>
                <w:b w:val="0"/>
                <w:i w:val="0"/>
                <w:sz w:val="17"/>
              </w:rPr>
              <w:t>1　計画策定の趣旨</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第10期計画の基本指針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計画の位置づけと期間</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計画策定の視点</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日常生活圏域の設定</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計画の進行管理・推進体制</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計画の策定体制</w:t>
            </w:r>
          </w:p>
        </w:tc>
      </w:tr>
      <w:tr>
        <w:tc>
          <w:tcPr>
            <w:tcW w:type="dxa" w:w="4368"/>
            <w:vAlign w:val="center"/>
          </w:tcPr>
          <w:p>
            <w:pPr>
              <w:spacing w:before="20" w:after="20"/>
            </w:pPr>
            <w:r>
              <w:rPr>
                <w:rFonts w:ascii="游ゴシック" w:hAnsi="游ゴシック" w:eastAsia="游ゴシック"/>
                <w:b w:val="0"/>
                <w:i w:val="0"/>
                <w:sz w:val="17"/>
              </w:rPr>
              <w:t>第2章　小野町の高齢者・介護等の状況</w:t>
            </w:r>
          </w:p>
        </w:tc>
        <w:tc>
          <w:tcPr>
            <w:tcW w:type="dxa" w:w="5383"/>
            <w:vAlign w:val="center"/>
          </w:tcPr>
          <w:p>
            <w:pPr>
              <w:spacing w:before="20" w:after="20"/>
            </w:pPr>
            <w:r>
              <w:rPr>
                <w:rFonts w:ascii="游ゴシック" w:hAnsi="游ゴシック" w:eastAsia="游ゴシック"/>
                <w:b w:val="0"/>
                <w:i w:val="0"/>
                <w:sz w:val="17"/>
              </w:rPr>
              <w:t>1　人口と世帯の状況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令和7年度調査のまとめ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小野町の介護保険事業の状況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介護保険財政の状況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サービス提供体制の状況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高齢者数等の将来推計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368"/>
            <w:vAlign w:val="center"/>
          </w:tcPr>
          <w:p>
            <w:pPr>
              <w:spacing w:before="20" w:after="20"/>
            </w:pPr>
            <w:r>
              <w:rPr>
                <w:rFonts w:ascii="游ゴシック" w:hAnsi="游ゴシック" w:eastAsia="游ゴシック"/>
                <w:b w:val="0"/>
                <w:i w:val="0"/>
                <w:sz w:val="17"/>
              </w:rPr>
              <w:t>第3章　第9期計画の実施状況と評価</w:t>
            </w:r>
          </w:p>
        </w:tc>
        <w:tc>
          <w:tcPr>
            <w:tcW w:type="dxa" w:w="538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地域支援事業の実績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第9期の評価と第10期への課題</w:t>
            </w:r>
          </w:p>
        </w:tc>
      </w:tr>
      <w:tr>
        <w:tc>
          <w:tcPr>
            <w:tcW w:type="dxa" w:w="4368"/>
            <w:vAlign w:val="center"/>
          </w:tcPr>
          <w:p>
            <w:pPr>
              <w:spacing w:before="20" w:after="20"/>
            </w:pPr>
            <w:r>
              <w:rPr>
                <w:rFonts w:ascii="游ゴシック" w:hAnsi="游ゴシック" w:eastAsia="游ゴシック"/>
                <w:b w:val="0"/>
                <w:i w:val="0"/>
                <w:sz w:val="17"/>
              </w:rPr>
              <w:t>第4章　計画の基本的考え方</w:t>
            </w:r>
          </w:p>
        </w:tc>
        <w:tc>
          <w:tcPr>
            <w:tcW w:type="dxa" w:w="5383"/>
            <w:vAlign w:val="center"/>
          </w:tcPr>
          <w:p>
            <w:pPr>
              <w:spacing w:before="20" w:after="20"/>
            </w:pPr>
            <w:r>
              <w:rPr>
                <w:rFonts w:ascii="游ゴシック" w:hAnsi="游ゴシック" w:eastAsia="游ゴシック"/>
                <w:b w:val="0"/>
                <w:i w:val="0"/>
                <w:sz w:val="17"/>
              </w:rPr>
              <w:t>1　計画の基本理念と目標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計画の体系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関連計画との役割分担</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障がい福祉計画との接点</w:t>
            </w:r>
          </w:p>
        </w:tc>
      </w:tr>
      <w:tr>
        <w:tc>
          <w:tcPr>
            <w:tcW w:type="dxa" w:w="4368"/>
            <w:vAlign w:val="center"/>
          </w:tcPr>
          <w:p>
            <w:pPr>
              <w:spacing w:before="20" w:after="20"/>
            </w:pPr>
            <w:r>
              <w:rPr>
                <w:rFonts w:ascii="游ゴシック" w:hAnsi="游ゴシック" w:eastAsia="游ゴシック"/>
                <w:b w:val="0"/>
                <w:i w:val="0"/>
                <w:sz w:val="17"/>
              </w:rPr>
              <w:t>第5章　施策の展開</w:t>
            </w:r>
          </w:p>
        </w:tc>
        <w:tc>
          <w:tcPr>
            <w:tcW w:type="dxa" w:w="538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基本目標3　介護サービスの充実</w:t>
            </w:r>
          </w:p>
        </w:tc>
      </w:tr>
      <w:tr>
        <w:tc>
          <w:tcPr>
            <w:tcW w:type="dxa" w:w="4368"/>
            <w:vAlign w:val="center"/>
          </w:tcPr>
          <w:p>
            <w:pPr>
              <w:spacing w:before="20" w:after="20"/>
            </w:pPr>
            <w:r>
              <w:rPr>
                <w:rFonts w:ascii="游ゴシック" w:hAnsi="游ゴシック" w:eastAsia="游ゴシック"/>
                <w:b w:val="0"/>
                <w:i w:val="0"/>
                <w:sz w:val="17"/>
              </w:rPr>
              <w:t>第6章　介護保険事業等の見込み</w:t>
            </w:r>
          </w:p>
        </w:tc>
        <w:tc>
          <w:tcPr>
            <w:tcW w:type="dxa" w:w="5383"/>
            <w:vAlign w:val="center"/>
          </w:tcPr>
          <w:p>
            <w:pPr>
              <w:spacing w:before="20" w:after="20"/>
            </w:pPr>
            <w:r>
              <w:rPr>
                <w:rFonts w:ascii="游ゴシック" w:hAnsi="游ゴシック" w:eastAsia="游ゴシック"/>
                <w:b w:val="0"/>
                <w:i w:val="0"/>
                <w:sz w:val="17"/>
              </w:rPr>
              <w:t>1　要介護認定者数の見込み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介護給付等サービスの見込量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第1号被保険者の保険料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低所得者支援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将来に向けたサービス提供体制の確保に関する施策</w:t>
            </w:r>
          </w:p>
        </w:tc>
      </w:tr>
      <w:tr>
        <w:tc>
          <w:tcPr>
            <w:tcW w:type="dxa" w:w="4368"/>
            <w:vAlign w:val="center"/>
          </w:tcPr>
          <w:p>
            <w:pPr>
              <w:spacing w:before="20" w:after="20"/>
            </w:pPr>
            <w:r>
              <w:rPr>
                <w:rFonts w:ascii="游ゴシック" w:hAnsi="游ゴシック" w:eastAsia="游ゴシック"/>
                <w:b w:val="0"/>
                <w:i w:val="0"/>
                <w:sz w:val="17"/>
              </w:rPr>
              <w:t>資料編</w:t>
            </w:r>
          </w:p>
        </w:tc>
        <w:tc>
          <w:tcPr>
            <w:tcW w:type="dxa" w:w="5383"/>
            <w:vAlign w:val="center"/>
          </w:tcPr>
          <w:p>
            <w:pPr>
              <w:spacing w:before="20" w:after="20"/>
            </w:pPr>
            <w:r>
              <w:rPr>
                <w:rFonts w:ascii="游ゴシック" w:hAnsi="游ゴシック" w:eastAsia="游ゴシック"/>
                <w:b w:val="0"/>
                <w:i w:val="0"/>
                <w:sz w:val="17"/>
              </w:rPr>
              <w:t>8　成果指標の定義</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年次評価の様式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施策の見直しの基準</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主な参照資料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出所：小野町高齢者保健福祉計画_第10期介護保険事業計画_素案_第10版_20261014.docx。章7・節41。</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spacing w:before="20" w:after="20"/>
            </w:pPr>
            <w:r>
              <w:rPr>
                <w:rFonts w:ascii="游ゴシック" w:hAnsi="游ゴシック" w:eastAsia="游ゴシック"/>
                <w:b w:val="0"/>
                <w:i w:val="0"/>
                <w:sz w:val="17"/>
              </w:rPr>
              <w:t>6　高齢者数等の将来推計</w:t>
            </w:r>
          </w:p>
        </w:tc>
        <w:tc>
          <w:tcPr>
            <w:tcW w:type="dxa" w:w="3319"/>
            <w:vAlign w:val="center"/>
          </w:tcPr>
          <w:p>
            <w:pPr>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keepNext/>
              <w:spacing w:before="20" w:after="20"/>
            </w:pPr>
            <w:r>
              <w:rPr>
                <w:rFonts w:ascii="游ゴシック" w:hAnsi="游ゴシック" w:eastAsia="游ゴシック"/>
                <w:b w:val="0"/>
                <w:i w:val="0"/>
                <w:sz w:val="17"/>
              </w:rPr>
              <w:t>2　安全・安心な暮らしの確保</w:t>
            </w:r>
          </w:p>
        </w:tc>
        <w:tc>
          <w:tcPr>
            <w:tcW w:type="dxa" w:w="2780"/>
            <w:vAlign w:val="center"/>
          </w:tcPr>
          <w:p>
            <w:pPr>
              <w:keepNext/>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keepNext/>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keepNext/>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keepNext/>
              <w:spacing w:before="20" w:after="20"/>
            </w:pPr>
            <w:r>
              <w:rPr>
                <w:rFonts w:ascii="游ゴシック" w:hAnsi="游ゴシック" w:eastAsia="游ゴシック"/>
                <w:b w:val="0"/>
                <w:i w:val="0"/>
                <w:sz w:val="17"/>
              </w:rPr>
              <w:t>基本目標2</w:t>
            </w:r>
          </w:p>
        </w:tc>
        <w:tc>
          <w:tcPr>
            <w:tcW w:type="dxa" w:w="2143"/>
            <w:vAlign w:val="center"/>
          </w:tcPr>
          <w:p>
            <w:pPr>
              <w:keepNext/>
              <w:spacing w:before="20" w:after="20"/>
            </w:pPr>
            <w:r>
              <w:rPr>
                <w:rFonts w:ascii="游ゴシック" w:hAnsi="游ゴシック" w:eastAsia="游ゴシック"/>
                <w:b w:val="0"/>
                <w:i w:val="0"/>
                <w:sz w:val="17"/>
              </w:rPr>
              <w:t>安全・安心な暮らしの確保</w:t>
            </w:r>
          </w:p>
        </w:tc>
        <w:tc>
          <w:tcPr>
            <w:tcW w:type="dxa" w:w="1976"/>
            <w:vAlign w:val="center"/>
          </w:tcPr>
          <w:p>
            <w:pPr>
              <w:keepNext/>
              <w:spacing w:before="20" w:after="20"/>
            </w:pPr>
            <w:r>
              <w:rPr>
                <w:rFonts w:ascii="游ゴシック" w:hAnsi="游ゴシック" w:eastAsia="游ゴシック"/>
                <w:b w:val="0"/>
                <w:i w:val="0"/>
                <w:sz w:val="17"/>
              </w:rPr>
              <w:t>同左（継承・施策を再編）</w:t>
            </w:r>
          </w:p>
        </w:tc>
        <w:tc>
          <w:tcPr>
            <w:tcW w:type="dxa" w:w="4102"/>
            <w:vAlign w:val="center"/>
          </w:tcPr>
          <w:p>
            <w:pPr>
              <w:keepNext/>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keepNext/>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keepNext/>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keepNext/>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keepNext/>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keepNext/>
              <w:spacing w:before="20" w:after="20"/>
            </w:pPr>
            <w:r>
              <w:rPr>
                <w:rFonts w:ascii="游ゴシック" w:hAnsi="游ゴシック" w:eastAsia="游ゴシック"/>
                <w:b w:val="0"/>
                <w:i w:val="0"/>
                <w:sz w:val="17"/>
              </w:rPr>
              <w:t>◎ 地域支援事業交付金</w:t>
            </w:r>
          </w:p>
        </w:tc>
        <w:tc>
          <w:tcPr>
            <w:tcW w:type="dxa" w:w="2621"/>
            <w:vAlign w:val="center"/>
          </w:tcPr>
          <w:p>
            <w:pPr>
              <w:keepNext/>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keepNext/>
              <w:spacing w:before="20" w:after="20"/>
            </w:pPr>
            <w:r>
              <w:rPr>
                <w:rFonts w:ascii="游ゴシック" w:hAnsi="游ゴシック" w:eastAsia="游ゴシック"/>
                <w:b w:val="0"/>
                <w:i w:val="0"/>
                <w:sz w:val="17"/>
              </w:rPr>
              <w:t>5 多様な生活支援の充実</w:t>
            </w:r>
          </w:p>
        </w:tc>
        <w:tc>
          <w:tcPr>
            <w:tcW w:type="dxa" w:w="3323"/>
            <w:vAlign w:val="center"/>
          </w:tcPr>
          <w:p>
            <w:pPr>
              <w:keepNext/>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keepNext/>
              <w:spacing w:before="20" w:after="20"/>
            </w:pPr>
            <w:r>
              <w:rPr>
                <w:rFonts w:ascii="游ゴシック" w:hAnsi="游ゴシック" w:eastAsia="游ゴシック"/>
                <w:b w:val="0"/>
                <w:i w:val="0"/>
                <w:sz w:val="17"/>
              </w:rPr>
              <w:t>○ 地域支援事業任意事業、一般会計</w:t>
            </w:r>
          </w:p>
        </w:tc>
        <w:tc>
          <w:tcPr>
            <w:tcW w:type="dxa" w:w="2581"/>
            <w:vAlign w:val="center"/>
          </w:tcPr>
          <w:p>
            <w:pPr>
              <w:keepNext/>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keepNext/>
              <w:spacing w:before="20" w:after="20"/>
            </w:pPr>
            <w:r>
              <w:rPr>
                <w:rFonts w:ascii="游ゴシック" w:hAnsi="游ゴシック" w:eastAsia="游ゴシック"/>
                <w:b w:val="0"/>
                <w:i w:val="0"/>
                <w:sz w:val="17"/>
              </w:rPr>
              <w:t>2 介護保険サービス等の充実</w:t>
            </w:r>
          </w:p>
        </w:tc>
        <w:tc>
          <w:tcPr>
            <w:tcW w:type="dxa" w:w="3469"/>
            <w:vAlign w:val="center"/>
          </w:tcPr>
          <w:p>
            <w:pPr>
              <w:keepNext/>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keepNext/>
              <w:spacing w:before="20" w:after="20"/>
            </w:pPr>
            <w:r>
              <w:rPr>
                <w:rFonts w:ascii="游ゴシック" w:hAnsi="游ゴシック" w:eastAsia="游ゴシック"/>
                <w:b w:val="0"/>
                <w:i w:val="0"/>
                <w:sz w:val="17"/>
              </w:rPr>
              <w:t>◎ 介護保険給付、包括的支援事業</w:t>
            </w:r>
          </w:p>
        </w:tc>
        <w:tc>
          <w:tcPr>
            <w:tcW w:type="dxa" w:w="2355"/>
            <w:vAlign w:val="center"/>
          </w:tcPr>
          <w:p>
            <w:pPr>
              <w:keepNext/>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spacing w:before="20" w:after="20"/>
            </w:pPr>
            <w:r>
              <w:rPr>
                <w:rFonts w:ascii="游ゴシック" w:hAnsi="游ゴシック" w:eastAsia="游ゴシック"/>
                <w:b w:val="0"/>
                <w:i w:val="0"/>
                <w:sz w:val="17"/>
              </w:rPr>
              <w:t>所得段階別保険料率</w:t>
            </w:r>
          </w:p>
        </w:tc>
        <w:tc>
          <w:tcPr>
            <w:tcW w:type="dxa" w:w="2839"/>
            <w:vAlign w:val="center"/>
          </w:tcPr>
          <w:p>
            <w:pPr>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keepNext/>
              <w:spacing w:before="20" w:after="20"/>
            </w:pPr>
            <w:r>
              <w:rPr>
                <w:rFonts w:ascii="游ゴシック" w:hAnsi="游ゴシック" w:eastAsia="游ゴシック"/>
                <w:b w:val="0"/>
                <w:i w:val="0"/>
                <w:sz w:val="17"/>
              </w:rPr>
              <w:t>地域福祉計画との関係</w:t>
            </w:r>
          </w:p>
        </w:tc>
        <w:tc>
          <w:tcPr>
            <w:tcW w:type="dxa" w:w="3343"/>
            <w:vAlign w:val="center"/>
          </w:tcPr>
          <w:p>
            <w:pPr>
              <w:keepNext/>
              <w:spacing w:before="20" w:after="20"/>
            </w:pPr>
            <w:r>
              <w:rPr>
                <w:rFonts w:ascii="游ゴシック" w:hAnsi="游ゴシック" w:eastAsia="游ゴシック"/>
                <w:b w:val="0"/>
                <w:i w:val="0"/>
                <w:sz w:val="17"/>
              </w:rPr>
              <w:t>推定による切り分け</w:t>
            </w:r>
          </w:p>
        </w:tc>
        <w:tc>
          <w:tcPr>
            <w:tcW w:type="dxa" w:w="4445"/>
            <w:vAlign w:val="center"/>
          </w:tcPr>
          <w:p>
            <w:pPr>
              <w:keepNext/>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