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一般介護予防事業費が10年近く180万円前後で据置。通いの場は令和6年度で23か所281人、うち週1回以上は8か所123人（参加率12.2%）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残された弱点は2つです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430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支援交付金 目標Ⅱ（認知症総合支援）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全国平均を下回る唯一の目標。3か年で唯一、低下局面があった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令和6年度65点→令和7年度70点→令和8年度45点と25点低下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KDB等の統計から自動的に算定される領域です。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要支援1の認定者が6年間で3倍。総合事業の多様なサービスの創設、通いの場の再構築、一般介護予防事業の拡充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通いの場の再構築と参加率の向上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令和6年度は23か所281人・参加率12.2%。週1回以上の開催は8か所123人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本資料は骨格です。数値は、国の推計ワークシートの提供（第10期基本指針の告示後）と、村の令和6・7年度実績の受領をもって確定します。本日は「考え方」についてご意見をいただきたく存じます。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資料2でご説明したとおり、第9期は社人研推計をそのまま用いた結果、第1号被保険者数を63人（6.6%）過少に見積もりました。第10期では、前期高齢者・後期高齢者それぞれについて実績との乖離率を算出し、推計値を補正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乖離率（補正係数）</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補正係数は令和8年の実績（前期493人・後期522人）と社人研推計の対比から算出したものです。本手法の採用について村の合意が必要です。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本村の高齢者人口は2020年の948人をピークに減少局面に入っています。増加するのは75歳以上のみで、2030年の551人がピークとなる見込みです。第10期（令和9〜11年度）は、その増加のまっただ中にあたります。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2025年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2030年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2035年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2040年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上表は社人研推計の値です。補正後の数値と要介護度別の認定者数の推計は、推計ワークシートの提供後に確定します。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27のサービスについて、直近の実績をもとに見込み量を推計します。実績の状況は次のとおりです。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サービス数</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実績あり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継続して利用実績があるもの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過去のみ</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過去に実績があるが直近はないもの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計画期間を通じて実績がないもの</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実績なし」の4サービスを第10期計画に掲げるかどうかは、村のご判断が必要です。第9期は実績のないサービスも計画に掲げていましたが、「やること」と「やらないこと」を書き分け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保険料の試算には国の推計ワークシートと介護給付費準備基金の残高が必要であり、いずれも未確定です。本日は「保険料をどう考えるか」の方向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保険料の複数案（案）</w:t>
      </w:r>
    </w:p>
    <w:p>
      <w:pPr>
        <w:spacing w:after="120" w:line="300"/>
      </w:pPr>
      <w:r>
        <w:rPr>
          <w:rFonts w:ascii="游明朝" w:cs="游明朝" w:eastAsia="游明朝" w:hAnsi="游明朝"/>
          <w:sz w:val="21"/>
          <w:szCs w:val="21"/>
        </w:rPr>
        <w:t xml:space="preserve">介護給付費準備基金の取崩しについて、3つの案をお示しします。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931"/>
        <w:gridCol w:w="2059"/>
        <w:gridCol w:w="262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基金を取り崩さない（給付費に応じた保険料）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第9期は13段階の所得段階を設定しています。第10期でも国の標準段階を踏まえて設定します。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段階ごとの被保険者数と保険料額は、推計ワークシートの提供後に確定します。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国の基本指針は、2040年を見据えた中長期的なサービス基盤・人的基盤の整備を求めています。本村では75歳以上人口が2030年にピークを迎えるため、第10期はその増加期にあたります。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2040年の給付費・保険料水準の見通しは、推計ワークシートの提供後に作成します。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通いの場の実績は、令和6年度介護予防・日常生活支援総合事業実施状況調査の値です。参加率12.2%は、第9期のアンケート調査による参加率11.2%とほぼ一致しています。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2026-09-03T06:31:10.192Z</dcterms:created>
  <dcterms:modified xsi:type="dcterms:W3CDTF">2026-09-03T06:31:10.192Z</dcterms:modified>
</cp:coreProperties>
</file>

<file path=docProps/custom.xml><?xml version="1.0" encoding="utf-8"?>
<Properties xmlns="http://schemas.openxmlformats.org/officeDocument/2006/custom-properties" xmlns:vt="http://schemas.openxmlformats.org/officeDocument/2006/docPropsVTypes"/>
</file>