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 w:line="300"/>
      </w:pPr>
      <w:r>
        <w:rPr>
          <w:rFonts w:ascii="游ゴシック" w:cs="游ゴシック" w:eastAsia="游ゴシック" w:hAnsi="游ゴシック"/>
          <w:b w:val="1"/>
          <w:bCs w:val="1"/>
          <w:i w:val="false"/>
          <w:iCs w:val="false"/>
          <w:sz w:val="21"/>
          <w:szCs w:val="21"/>
        </w:rPr>
        <w:t xml:space="preserve">川崎町高齢者保健福祉計画・第10期介護保険事業計画　別冊　詳細分析</w:t>
      </w:r>
    </w:p>
    <w:p>
      <w:pPr>
        <w:spacing w:after="80" w:before="50" w:line="320"/>
        <w:ind w:firstLine="200"/>
        <w:jc w:val="left"/>
      </w:pPr>
      <w:r>
        <w:rPr>
          <w:rFonts w:ascii="游ゴシック" w:cs="游ゴシック" w:eastAsia="游ゴシック" w:hAnsi="游ゴシック"/>
          <w:i w:val="false"/>
          <w:iCs w:val="false"/>
          <w:sz w:val="20"/>
          <w:szCs w:val="20"/>
        </w:rPr>
        <w:t xml:space="preserve">本別冊は、川崎町高齢者保健福祉計画・第10期介護保険事業計画の本文に掲げた分析のうち、詳細にわたる部分をまとめたものです。本文の 3-3（評価指標の達成状況）・9-3（介護保険料の算定）・6-4（認知症施策の体系）に対応します。計画の内容は本文に掲げており、本別冊はその根拠を示すものです。</w:t>
      </w:r>
    </w:p>
    <w:p>
      <w:pPr>
        <w:spacing w:after="80" w:before="180" w:line="300"/>
      </w:pPr>
      <w:r>
        <w:rPr>
          <w:rFonts w:ascii="游ゴシック" w:cs="游ゴシック" w:eastAsia="游ゴシック" w:hAnsi="游ゴシック"/>
          <w:b w:val="1"/>
          <w:bCs w:val="1"/>
          <w:i w:val="false"/>
          <w:iCs w:val="false"/>
          <w:sz w:val="21"/>
          <w:szCs w:val="21"/>
        </w:rPr>
        <w:t xml:space="preserve">1 交付金の評価の詳細</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80" w:before="180" w:line="300"/>
      </w:pPr>
      <w:r>
        <w:rPr>
          <w:rFonts w:ascii="游ゴシック" w:cs="游ゴシック" w:eastAsia="游ゴシック" w:hAnsi="游ゴシック"/>
          <w:b w:val="1"/>
          <w:bCs w:val="1"/>
          <w:i w:val="false"/>
          <w:iCs w:val="false"/>
          <w:sz w:val="21"/>
          <w:szCs w:val="21"/>
        </w:rPr>
        <w:t xml:space="preserve">2 保険料算定の感度分析</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3 認知症施策の追加候補（協議用）</w:t>
      </w:r>
    </w:p>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