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出典：厚生労働省配布「第10期将来推計用推計人口」を基礎に作成　単位：人</w:t>
      </w:r>
    </w:p>
    <w:p>
      <w:pPr>
        <w:spacing w:after="120" w:line="300"/>
      </w:pPr>
      <w:r>
        <w:rPr>
          <w:rFonts w:ascii="游ゴシック" w:cs="游ゴシック" w:eastAsia="游ゴシック" w:hAnsi="游ゴシック"/>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pPr>
      <w:r>
        <w:rPr>
          <w:rFonts w:ascii="游ゴシック" w:cs="游ゴシック" w:eastAsia="游ゴシック" w:hAnsi="游ゴシック"/>
          <w:b/>
          <w:bCs/>
          <w:color w:val="2E75B6"/>
          <w:sz w:val="22"/>
          <w:szCs w:val="22"/>
        </w:rPr>
        <w:t xml:space="preserve">性・年齢調整済み認定率</w:t>
      </w:r>
    </w:p>
    <w:p>
      <w:pPr>
        <w:spacing w:after="120" w:line="300"/>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　出典：地域包括ケア「見える化」システム</w:t>
      </w:r>
    </w:p>
    <w:p>
      <w:pPr>
        <w:spacing w:after="120" w:line="300"/>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keepNext/>
        <w:keepLines/>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r>
        <w:br w:type="page"/>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2808"/>
        <w:gridCol w:w="1310"/>
        <w:gridCol w:w="131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keepNext/>
        <w:keepLines/>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1030"/>
        <w:gridCol w:w="749"/>
        <w:gridCol w:w="749"/>
        <w:gridCol w:w="749"/>
        <w:gridCol w:w="205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村の委託により現在の体制を維持する。利用の増加には介護予防・生活支援サービス事業の活用を検討する（施策2-3）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ひとり暮らし高齢者等への設置を継続する。避難行動要支援者名簿の整備とあわせて対象を把握する（施策2-4）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公共交通担当部局と連携し、介護予防・生活支援サービス事業による移動支援の創設を検討する。認知症の方の交通手段の確保を含む（施策2-1）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現在の支給要件を維持する（施策4-4）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多様な学習機会を確保する。通いの場（施策1-1）との役割分担を整理する（施策2-2）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872"/>
        <w:gridCol w:w="1685"/>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置き直しを行うB案（1,004人・995人・987人）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県の通知は配布データを「参考として適切に設定願います」としており、その使用を義務づけてはいません。本計画はB案を採用します。</w:t>
      </w:r>
    </w:p>
    <w:p>
      <w:pPr>
        <w:keepNext/>
        <w:keepLines/>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872"/>
        <w:gridCol w:w="2059"/>
        <w:gridCol w:w="1498"/>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各年1月1日時点。令和7年は令和7年12月末の実績です。</w:t>
      </w:r>
    </w:p>
    <w:p>
      <w:pPr>
        <w:spacing w:after="120" w:line="300"/>
      </w:pPr>
      <w:r>
        <w:rPr>
          <w:rFonts w:ascii="游ゴシック" w:cs="游ゴシック" w:eastAsia="游ゴシック" w:hAnsi="游ゴシック"/>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keepNext/>
        <w:keepLines/>
        <w:spacing w:after="100" w:line="300"/>
      </w:pPr>
      <w:r>
        <w:rPr>
          <w:rFonts w:ascii="游ゴシック" w:cs="游ゴシック" w:eastAsia="游ゴシック" w:hAnsi="游ゴシック"/>
          <w:b/>
          <w:bCs/>
          <w:color w:val="2E75B6"/>
          <w:sz w:val="22"/>
          <w:szCs w:val="22"/>
        </w:rPr>
        <w:t xml:space="preserve">推計の検証</w:t>
      </w:r>
    </w:p>
    <w:p>
      <w:pPr>
        <w:spacing w:after="120" w:line="300"/>
      </w:pPr>
      <w:r>
        <w:rPr>
          <w:rFonts w:ascii="游ゴシック" w:cs="游ゴシック" w:eastAsia="游ゴシック" w:hAnsi="游ゴシック"/>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842"/>
        <w:gridCol w:w="842"/>
        <w:gridCol w:w="842"/>
        <w:gridCol w:w="842"/>
        <w:gridCol w:w="842"/>
        <w:gridCol w:w="842"/>
        <w:gridCol w:w="842"/>
        <w:gridCol w:w="842"/>
        <w:gridCol w:w="131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keepNext/>
        <w:keepLines/>
        <w:spacing w:after="100" w:line="300"/>
      </w:pPr>
      <w:r>
        <w:rPr>
          <w:rFonts w:ascii="游ゴシック" w:cs="游ゴシック" w:eastAsia="游ゴシック" w:hAnsi="游ゴシック"/>
          <w:b/>
          <w:bCs/>
          <w:color w:val="2E75B6"/>
          <w:sz w:val="22"/>
          <w:szCs w:val="22"/>
        </w:rPr>
        <w:t xml:space="preserve">認定率の置き方による幅</w:t>
      </w:r>
    </w:p>
    <w:p>
      <w:pPr>
        <w:spacing w:after="120" w:line="300"/>
      </w:pPr>
      <w:r>
        <w:rPr>
          <w:rFonts w:ascii="游ゴシック" w:cs="游ゴシック" w:eastAsia="游ゴシック" w:hAnsi="游ゴシック"/>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123"/>
        <w:gridCol w:w="1123"/>
        <w:gridCol w:w="1123"/>
        <w:gridCol w:w="1498"/>
        <w:gridCol w:w="149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ゴシック" w:cs="游ゴシック" w:eastAsia="游ゴシック" w:hAnsi="游ゴシック"/>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1404"/>
        <w:gridCol w:w="1404"/>
        <w:gridCol w:w="2059"/>
        <w:gridCol w:w="1123"/>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keepNext/>
        <w:keepLines/>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keepNext/>
        <w:keepLines/>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842"/>
        <w:gridCol w:w="842"/>
        <w:gridCol w:w="842"/>
        <w:gridCol w:w="1030"/>
        <w:gridCol w:w="1030"/>
        <w:gridCol w:w="93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keepNext/>
        <w:keepLines/>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keepNext/>
        <w:keepLines/>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246"/>
        <w:gridCol w:w="1685"/>
        <w:gridCol w:w="3557"/>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keepNext/>
        <w:keepLines/>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pPr>
      <w:r>
        <w:rPr>
          <w:rFonts w:ascii="游ゴシック" w:cs="游ゴシック" w:eastAsia="游ゴシック" w:hAnsi="游ゴシック"/>
          <w:b/>
          <w:bCs/>
          <w:color w:val="2E75B6"/>
          <w:sz w:val="22"/>
          <w:szCs w:val="22"/>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編集注記：令和6年度末実績および令和7年度末見込の提供を受けたうえで、計画的な取崩方針とあわせて記載します。</w:t>
      </w:r>
    </w:p>
    <w:p>
      <w:pPr>
        <w:keepNext/>
        <w:keepLines/>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編集注記：第10期の第1号被保険者負担割合を定める政令の公布状況を村に確認します。第2回・第3回策定委員会では23%を本体としつつ24%を併記します。</w:t>
      </w:r>
    </w:p>
    <w:p>
      <w:pPr>
        <w:keepNext/>
        <w:keepLines/>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編集注記：上表は令和5年度決算を基礎とした暫定値です。令和6年度・令和7年度の決算と基金残高の提供を受けて確定します。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2434"/>
        <w:gridCol w:w="168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編集注記：令和6年度・令和7年度の決算および基金残高の提供を受けて確定します。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から令和11年度まで）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keepNext/>
        <w:keepLines/>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keepNext/>
        <w:keepLines/>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pPr>
      <w:r>
        <w:rPr>
          <w:rFonts w:ascii="游ゴシック" w:cs="游ゴシック" w:eastAsia="游ゴシック" w:hAnsi="游ゴシック"/>
          <w:b/>
          <w:bCs/>
          <w:color w:val="2E75B6"/>
          <w:sz w:val="22"/>
          <w:szCs w:val="22"/>
        </w:rPr>
        <w:t xml:space="preserve">中長期の見込量・給付費・保険料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老人福祉事業（在宅）の量　配食・緊急通報・除雪支援・移動支援・家族介護者リフレッシュ・介護用品の支給・高齢者教室・シルバー人材センター・老人クラブ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実績・目標とも空欄（9事業）</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村単独事業の実績</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よ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keepNext/>
        <w:keepLines/>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621"/>
        <w:gridCol w:w="2059"/>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2-1、2-5、2-8、6-3、施策4-3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1-8の1、4-6、5-4(1)、施策2-3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92.6%・通所介護77.8%（令和7年度）として算定し、5-4(8)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2.4人が利用しており（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d9f1cd090c5ab68fed2f1e1374a9588c6d73feb4.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2026-10-06T11:56:26.799Z</dcterms:created>
  <dcterms:modified xsi:type="dcterms:W3CDTF">2026-10-06T11:56:26.805Z</dcterms:modified>
</cp:coreProperties>
</file>

<file path=docProps/custom.xml><?xml version="1.0" encoding="utf-8"?>
<Properties xmlns="http://schemas.openxmlformats.org/officeDocument/2006/custom-properties" xmlns:vt="http://schemas.openxmlformats.org/officeDocument/2006/docPropsVTypes"/>
</file>