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素案（第6版）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8"/>
        <w:gridCol w:w="7220"/>
      </w:tblGrid>
      <w:tr>
        <w:tc>
          <w:tcPr>
            <w:tcW w:type="dxa" w:w="241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18"/>
            <w:vAlign w:val="center"/>
          </w:tcPr>
          <w:p>
            <w:pPr>
              <w:spacing w:before="20" w:after="20"/>
            </w:pPr>
            <w:r>
              <w:rPr>
                <w:rFonts w:ascii="BIZ UDPゴシック" w:hAnsi="BIZ UDPゴシック" w:eastAsia="BIZ UDPゴシック"/>
                <w:b w:val="0"/>
                <w:i w:val="0"/>
                <w:sz w:val="22"/>
              </w:rPr>
              <w:t>計画期間</w:t>
            </w:r>
          </w:p>
        </w:tc>
        <w:tc>
          <w:tcPr>
            <w:tcW w:type="dxa" w:w="7220"/>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418"/>
            <w:vAlign w:val="center"/>
          </w:tcPr>
          <w:p>
            <w:pPr>
              <w:spacing w:before="20" w:after="20"/>
            </w:pPr>
            <w:r>
              <w:rPr>
                <w:rFonts w:ascii="BIZ UDPゴシック" w:hAnsi="BIZ UDPゴシック" w:eastAsia="BIZ UDPゴシック"/>
                <w:b w:val="0"/>
                <w:i w:val="0"/>
                <w:sz w:val="22"/>
              </w:rPr>
              <w:t>位置づけ</w:t>
            </w:r>
          </w:p>
        </w:tc>
        <w:tc>
          <w:tcPr>
            <w:tcW w:type="dxa" w:w="7220"/>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418"/>
            <w:vAlign w:val="center"/>
          </w:tcPr>
          <w:p>
            <w:pPr>
              <w:spacing w:before="20" w:after="20"/>
            </w:pPr>
            <w:r>
              <w:rPr>
                <w:rFonts w:ascii="BIZ UDPゴシック" w:hAnsi="BIZ UDPゴシック" w:eastAsia="BIZ UDPゴシック"/>
                <w:b w:val="0"/>
                <w:i w:val="0"/>
                <w:sz w:val="22"/>
              </w:rPr>
              <w:t>第1版からの変更</w:t>
            </w:r>
          </w:p>
        </w:tc>
        <w:tc>
          <w:tcPr>
            <w:tcW w:type="dxa" w:w="7220"/>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2418"/>
            <w:vAlign w:val="center"/>
          </w:tcPr>
          <w:p>
            <w:pPr>
              <w:spacing w:before="20" w:after="20"/>
            </w:pPr>
            <w:r>
              <w:rPr>
                <w:rFonts w:ascii="BIZ UDPゴシック" w:hAnsi="BIZ UDPゴシック" w:eastAsia="BIZ UDPゴシック"/>
                <w:b w:val="0"/>
                <w:i w:val="0"/>
                <w:sz w:val="22"/>
              </w:rPr>
              <w:t>確定していない事項の表示</w:t>
            </w:r>
          </w:p>
        </w:tc>
        <w:tc>
          <w:tcPr>
            <w:tcW w:type="dxa" w:w="7220"/>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本素案には確定していない箇所が115あります。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43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町からのデータ受領を待っているのは43箇所（37.4％）で、最も多いのは協議会で設定する成果指標の目標値54箇所（47.0％）です。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54</w:t>
            </w:r>
          </w:p>
        </w:tc>
        <w:tc>
          <w:tcPr>
            <w:tcW w:type="dxa" w:w="1307"/>
            <w:vAlign w:val="center"/>
          </w:tcPr>
          <w:p>
            <w:pPr>
              <w:spacing w:before="20" w:after="20"/>
            </w:pPr>
            <w:r>
              <w:rPr>
                <w:rFonts w:ascii="BIZ UDPゴシック" w:hAnsi="BIZ UDPゴシック" w:eastAsia="BIZ UDPゴシック"/>
                <w:b w:val="0"/>
                <w:i w:val="0"/>
                <w:sz w:val="22"/>
              </w:rPr>
              <w:t>47.0％</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43</w:t>
            </w:r>
          </w:p>
        </w:tc>
        <w:tc>
          <w:tcPr>
            <w:tcW w:type="dxa" w:w="1307"/>
            <w:vAlign w:val="center"/>
          </w:tcPr>
          <w:p>
            <w:pPr>
              <w:spacing w:before="20" w:after="20"/>
            </w:pPr>
            <w:r>
              <w:rPr>
                <w:rFonts w:ascii="BIZ UDPゴシック" w:hAnsi="BIZ UDPゴシック" w:eastAsia="BIZ UDPゴシック"/>
                <w:b/>
                <w:i w:val="0"/>
                <w:sz w:val="22"/>
              </w:rPr>
              <w:t>37.4％</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10.4％</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6</w:t>
            </w:r>
          </w:p>
        </w:tc>
        <w:tc>
          <w:tcPr>
            <w:tcW w:type="dxa" w:w="1307"/>
            <w:vAlign w:val="center"/>
          </w:tcPr>
          <w:p>
            <w:pPr>
              <w:spacing w:before="20" w:after="20"/>
            </w:pPr>
            <w:r>
              <w:rPr>
                <w:rFonts w:ascii="BIZ UDPゴシック" w:hAnsi="BIZ UDPゴシック" w:eastAsia="BIZ UDPゴシック"/>
                <w:b w:val="0"/>
                <w:i w:val="0"/>
                <w:sz w:val="22"/>
              </w:rPr>
              <w:t>5.2％</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8"/>
        <w:gridCol w:w="3515"/>
        <w:gridCol w:w="4395"/>
      </w:tblGrid>
      <w:tr>
        <w:tc>
          <w:tcPr>
            <w:tcW w:type="dxa" w:w="17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51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395"/>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28"/>
            <w:vAlign w:val="center"/>
          </w:tcPr>
          <w:p>
            <w:pPr>
              <w:spacing w:before="20" w:after="20"/>
            </w:pPr>
            <w:r>
              <w:rPr>
                <w:rFonts w:ascii="BIZ UDPゴシック" w:hAnsi="BIZ UDPゴシック" w:eastAsia="BIZ UDPゴシック"/>
                <w:b w:val="0"/>
                <w:i w:val="0"/>
                <w:sz w:val="22"/>
              </w:rPr>
              <w:t>社会参加</w:t>
            </w:r>
          </w:p>
        </w:tc>
        <w:tc>
          <w:tcPr>
            <w:tcW w:type="dxa" w:w="3515"/>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395"/>
            <w:vAlign w:val="center"/>
          </w:tcPr>
          <w:p>
            <w:pPr>
              <w:spacing w:before="20" w:after="20"/>
            </w:pPr>
            <w:r>
              <w:rPr>
                <w:rFonts w:ascii="BIZ UDPゴシック" w:hAnsi="BIZ UDPゴシック" w:eastAsia="BIZ UDPゴシック"/>
                <w:b w:val="0"/>
                <w:i w:val="0"/>
                <w:sz w:val="22"/>
              </w:rPr>
              <w:t>5.5％</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395"/>
            <w:vAlign w:val="center"/>
          </w:tcPr>
          <w:p>
            <w:pPr>
              <w:spacing w:before="20" w:after="20"/>
            </w:pPr>
            <w:r>
              <w:rPr>
                <w:rFonts w:ascii="BIZ UDPゴシック" w:hAnsi="BIZ UDPゴシック" w:eastAsia="BIZ UDPゴシック"/>
                <w:b w:val="0"/>
                <w:i w:val="0"/>
                <w:sz w:val="22"/>
              </w:rPr>
              <w:t>13.8％</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395"/>
            <w:vAlign w:val="center"/>
          </w:tcPr>
          <w:p>
            <w:pPr>
              <w:spacing w:before="20" w:after="20"/>
            </w:pPr>
            <w:r>
              <w:rPr>
                <w:rFonts w:ascii="BIZ UDPゴシック" w:hAnsi="BIZ UDPゴシック" w:eastAsia="BIZ UDPゴシック"/>
                <w:b w:val="0"/>
                <w:i w:val="0"/>
                <w:sz w:val="22"/>
              </w:rPr>
              <w:t>76.2％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395"/>
            <w:vAlign w:val="center"/>
          </w:tcPr>
          <w:p>
            <w:pPr>
              <w:spacing w:before="20" w:after="20"/>
            </w:pPr>
            <w:r>
              <w:rPr>
                <w:rFonts w:ascii="BIZ UDPゴシック" w:hAnsi="BIZ UDPゴシック" w:eastAsia="BIZ UDPゴシック"/>
                <w:b w:val="0"/>
                <w:i w:val="0"/>
                <w:sz w:val="22"/>
              </w:rPr>
              <w:t>50.9％</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395"/>
            <w:vAlign w:val="center"/>
          </w:tcPr>
          <w:p>
            <w:pPr>
              <w:spacing w:before="20" w:after="20"/>
            </w:pPr>
            <w:r>
              <w:rPr>
                <w:rFonts w:ascii="BIZ UDPゴシック" w:hAnsi="BIZ UDPゴシック" w:eastAsia="BIZ UDPゴシック"/>
                <w:b w:val="0"/>
                <w:i w:val="0"/>
                <w:sz w:val="22"/>
              </w:rPr>
              <w:t>32.0％</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395"/>
            <w:vAlign w:val="center"/>
          </w:tcPr>
          <w:p>
            <w:pPr>
              <w:spacing w:before="20" w:after="20"/>
            </w:pPr>
            <w:r>
              <w:rPr>
                <w:rFonts w:ascii="BIZ UDPゴシック" w:hAnsi="BIZ UDPゴシック" w:eastAsia="BIZ UDPゴシック"/>
                <w:b w:val="0"/>
                <w:i w:val="0"/>
                <w:sz w:val="22"/>
              </w:rPr>
              <w:t>63.7％</w:t>
            </w:r>
          </w:p>
        </w:tc>
      </w:tr>
      <w:tr>
        <w:tc>
          <w:tcPr>
            <w:tcW w:type="dxa" w:w="1728"/>
            <w:vAlign w:val="center"/>
          </w:tcPr>
          <w:p>
            <w:pPr>
              <w:spacing w:before="20" w:after="20"/>
            </w:pPr>
            <w:r>
              <w:rPr>
                <w:rFonts w:ascii="BIZ UDPゴシック" w:hAnsi="BIZ UDPゴシック" w:eastAsia="BIZ UDPゴシック"/>
                <w:b w:val="0"/>
                <w:i w:val="0"/>
                <w:sz w:val="22"/>
              </w:rPr>
              <w:t>外出</w:t>
            </w:r>
          </w:p>
        </w:tc>
        <w:tc>
          <w:tcPr>
            <w:tcW w:type="dxa" w:w="3515"/>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395"/>
            <w:vAlign w:val="center"/>
          </w:tcPr>
          <w:p>
            <w:pPr>
              <w:spacing w:before="20" w:after="20"/>
            </w:pPr>
            <w:r>
              <w:rPr>
                <w:rFonts w:ascii="BIZ UDPゴシック" w:hAnsi="BIZ UDPゴシック" w:eastAsia="BIZ UDPゴシック"/>
                <w:b w:val="0"/>
                <w:i w:val="0"/>
                <w:sz w:val="22"/>
              </w:rPr>
              <w:t>73.2％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外出を控えている</w:t>
            </w:r>
          </w:p>
        </w:tc>
        <w:tc>
          <w:tcPr>
            <w:tcW w:type="dxa" w:w="4395"/>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395"/>
            <w:vAlign w:val="center"/>
          </w:tcPr>
          <w:p>
            <w:pPr>
              <w:spacing w:before="20" w:after="20"/>
            </w:pPr>
            <w:r>
              <w:rPr>
                <w:rFonts w:ascii="BIZ UDPゴシック" w:hAnsi="BIZ UDPゴシック" w:eastAsia="BIZ UDPゴシック"/>
                <w:b w:val="0"/>
                <w:i w:val="0"/>
                <w:sz w:val="22"/>
              </w:rPr>
              <w:t>29.7％</w:t>
            </w:r>
          </w:p>
        </w:tc>
      </w:tr>
      <w:tr>
        <w:tc>
          <w:tcPr>
            <w:tcW w:type="dxa" w:w="1728"/>
            <w:vAlign w:val="center"/>
          </w:tcPr>
          <w:p>
            <w:pPr>
              <w:spacing w:before="20" w:after="20"/>
            </w:pPr>
            <w:r>
              <w:rPr>
                <w:rFonts w:ascii="BIZ UDPゴシック" w:hAnsi="BIZ UDPゴシック" w:eastAsia="BIZ UDPゴシック"/>
                <w:b w:val="0"/>
                <w:i w:val="0"/>
                <w:sz w:val="22"/>
              </w:rPr>
              <w:t>認知症</w:t>
            </w:r>
          </w:p>
        </w:tc>
        <w:tc>
          <w:tcPr>
            <w:tcW w:type="dxa" w:w="3515"/>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395"/>
            <w:vAlign w:val="center"/>
          </w:tcPr>
          <w:p>
            <w:pPr>
              <w:spacing w:before="20" w:after="20"/>
            </w:pPr>
            <w:r>
              <w:rPr>
                <w:rFonts w:ascii="BIZ UDPゴシック" w:hAnsi="BIZ UDPゴシック" w:eastAsia="BIZ UDPゴシック"/>
                <w:b/>
                <w:i w:val="0"/>
                <w:sz w:val="22"/>
              </w:rPr>
              <w:t>33.2％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必要な支援：相談窓口の充実／情報提供</w:t>
            </w:r>
          </w:p>
        </w:tc>
        <w:tc>
          <w:tcPr>
            <w:tcW w:type="dxa" w:w="4395"/>
            <w:vAlign w:val="center"/>
          </w:tcPr>
          <w:p>
            <w:pPr>
              <w:spacing w:before="20" w:after="20"/>
            </w:pPr>
            <w:r>
              <w:rPr>
                <w:rFonts w:ascii="BIZ UDPゴシック" w:hAnsi="BIZ UDPゴシック" w:eastAsia="BIZ UDPゴシック"/>
                <w:b w:val="0"/>
                <w:i w:val="0"/>
                <w:sz w:val="22"/>
              </w:rPr>
              <w:t>54.1％／51.9％</w:t>
            </w:r>
          </w:p>
        </w:tc>
      </w:tr>
      <w:tr>
        <w:tc>
          <w:tcPr>
            <w:tcW w:type="dxa" w:w="1728"/>
            <w:vAlign w:val="center"/>
          </w:tcPr>
          <w:p>
            <w:pPr>
              <w:spacing w:before="20" w:after="20"/>
            </w:pPr>
            <w:r>
              <w:rPr>
                <w:rFonts w:ascii="BIZ UDPゴシック" w:hAnsi="BIZ UDPゴシック" w:eastAsia="BIZ UDPゴシック"/>
                <w:b w:val="0"/>
                <w:i w:val="0"/>
                <w:sz w:val="22"/>
              </w:rPr>
              <w:t>生きがい</w:t>
            </w:r>
          </w:p>
        </w:tc>
        <w:tc>
          <w:tcPr>
            <w:tcW w:type="dxa" w:w="3515"/>
            <w:vAlign w:val="center"/>
          </w:tcPr>
          <w:p>
            <w:pPr>
              <w:spacing w:before="20" w:after="20"/>
            </w:pPr>
            <w:r>
              <w:rPr>
                <w:rFonts w:ascii="BIZ UDPゴシック" w:hAnsi="BIZ UDPゴシック" w:eastAsia="BIZ UDPゴシック"/>
                <w:b w:val="0"/>
                <w:i w:val="0"/>
                <w:sz w:val="22"/>
              </w:rPr>
              <w:t>生きがいが「思いつかない」</w:t>
            </w:r>
          </w:p>
        </w:tc>
        <w:tc>
          <w:tcPr>
            <w:tcW w:type="dxa" w:w="4395"/>
            <w:vAlign w:val="center"/>
          </w:tcPr>
          <w:p>
            <w:pPr>
              <w:spacing w:before="20" w:after="20"/>
            </w:pPr>
            <w:r>
              <w:rPr>
                <w:rFonts w:ascii="BIZ UDPゴシック" w:hAnsi="BIZ UDPゴシック" w:eastAsia="BIZ UDPゴシック"/>
                <w:b w:val="0"/>
                <w:i w:val="0"/>
                <w:sz w:val="22"/>
              </w:rPr>
              <w:t>36.5％</w:t>
            </w:r>
          </w:p>
        </w:tc>
      </w:tr>
      <w:tr>
        <w:tc>
          <w:tcPr>
            <w:tcW w:type="dxa" w:w="1728"/>
            <w:vAlign w:val="center"/>
          </w:tcPr>
          <w:p>
            <w:pPr>
              <w:spacing w:before="20" w:after="20"/>
            </w:pPr>
            <w:r>
              <w:rPr>
                <w:rFonts w:ascii="BIZ UDPゴシック" w:hAnsi="BIZ UDPゴシック" w:eastAsia="BIZ UDPゴシック"/>
                <w:b w:val="0"/>
                <w:i w:val="0"/>
                <w:sz w:val="22"/>
              </w:rPr>
              <w:t>相談</w:t>
            </w:r>
          </w:p>
        </w:tc>
        <w:tc>
          <w:tcPr>
            <w:tcW w:type="dxa" w:w="3515"/>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395"/>
            <w:vAlign w:val="center"/>
          </w:tcPr>
          <w:p>
            <w:pPr>
              <w:spacing w:before="20" w:after="20"/>
            </w:pPr>
            <w:r>
              <w:rPr>
                <w:rFonts w:ascii="BIZ UDPゴシック" w:hAnsi="BIZ UDPゴシック" w:eastAsia="BIZ UDPゴシック"/>
                <w:b w:val="0"/>
                <w:i w:val="0"/>
                <w:sz w:val="22"/>
              </w:rPr>
              <w:t>38.0％</w:t>
            </w:r>
          </w:p>
        </w:tc>
      </w:tr>
      <w:tr>
        <w:tc>
          <w:tcPr>
            <w:tcW w:type="dxa" w:w="1728"/>
            <w:vAlign w:val="center"/>
          </w:tcPr>
          <w:p>
            <w:pPr>
              <w:spacing w:before="20" w:after="20"/>
            </w:pPr>
            <w:r>
              <w:rPr>
                <w:rFonts w:ascii="BIZ UDPゴシック" w:hAnsi="BIZ UDPゴシック" w:eastAsia="BIZ UDPゴシック"/>
                <w:b w:val="0"/>
                <w:i w:val="0"/>
                <w:sz w:val="22"/>
              </w:rPr>
              <w:t>災害</w:t>
            </w:r>
          </w:p>
        </w:tc>
        <w:tc>
          <w:tcPr>
            <w:tcW w:type="dxa" w:w="3515"/>
            <w:vAlign w:val="center"/>
          </w:tcPr>
          <w:p>
            <w:pPr>
              <w:spacing w:before="20" w:after="20"/>
            </w:pPr>
            <w:r>
              <w:rPr>
                <w:rFonts w:ascii="BIZ UDPゴシック" w:hAnsi="BIZ UDPゴシック" w:eastAsia="BIZ UDPゴシック"/>
                <w:b w:val="0"/>
                <w:i w:val="0"/>
                <w:sz w:val="22"/>
              </w:rPr>
              <w:t>災害時に一人で避難できない</w:t>
            </w:r>
          </w:p>
        </w:tc>
        <w:tc>
          <w:tcPr>
            <w:tcW w:type="dxa" w:w="4395"/>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395"/>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 在宅介護実態調査は、調査結果報告書の記載では回収数319件ですが、集計のnはすべて366です。この不一致は町に確認中です。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15"/>
        <w:gridCol w:w="1958"/>
        <w:gridCol w:w="3565"/>
      </w:tblGrid>
      <w:tr>
        <w:tc>
          <w:tcPr>
            <w:tcW w:type="dxa" w:w="4115"/>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95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565"/>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115"/>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1958"/>
            <w:vAlign w:val="center"/>
          </w:tcPr>
          <w:p>
            <w:pPr>
              <w:spacing w:before="20" w:after="20"/>
            </w:pPr>
            <w:r>
              <w:rPr>
                <w:rFonts w:ascii="BIZ UDPゴシック" w:hAnsi="BIZ UDPゴシック" w:eastAsia="BIZ UDPゴシック"/>
                <w:b w:val="0"/>
                <w:i w:val="0"/>
                <w:sz w:val="22"/>
              </w:rPr>
              <w:t>1.24</w:t>
            </w:r>
          </w:p>
        </w:tc>
        <w:tc>
          <w:tcPr>
            <w:tcW w:type="dxa" w:w="3565"/>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県内2位</w:t>
            </w:r>
          </w:p>
        </w:tc>
      </w:tr>
      <w:tr>
        <w:tc>
          <w:tcPr>
            <w:tcW w:type="dxa" w:w="4115"/>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1958"/>
            <w:vAlign w:val="center"/>
          </w:tcPr>
          <w:p>
            <w:pPr>
              <w:spacing w:before="20" w:after="20"/>
            </w:pPr>
            <w:r>
              <w:rPr>
                <w:rFonts w:ascii="BIZ UDPゴシック" w:hAnsi="BIZ UDPゴシック" w:eastAsia="BIZ UDPゴシック"/>
                <w:b w:val="0"/>
                <w:i w:val="0"/>
                <w:sz w:val="22"/>
              </w:rPr>
              <w:t>1.08</w:t>
            </w:r>
          </w:p>
        </w:tc>
        <w:tc>
          <w:tcPr>
            <w:tcW w:type="dxa" w:w="3565"/>
            <w:vAlign w:val="center"/>
          </w:tcPr>
          <w:p>
            <w:pPr>
              <w:spacing w:before="20" w:after="20"/>
            </w:pPr>
            <w:r>
              <w:rPr>
                <w:rFonts w:ascii="BIZ UDPゴシック" w:hAnsi="BIZ UDPゴシック" w:eastAsia="BIZ UDPゴシック"/>
                <w:b w:val="0"/>
                <w:i w:val="0"/>
                <w:sz w:val="22"/>
              </w:rPr>
              <w:t>全国平均を8％上回る</w:t>
            </w:r>
          </w:p>
        </w:tc>
      </w:tr>
      <w:tr>
        <w:tc>
          <w:tcPr>
            <w:tcW w:type="dxa" w:w="4115"/>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県内23位</w:t>
            </w:r>
          </w:p>
        </w:tc>
      </w:tr>
      <w:tr>
        <w:tc>
          <w:tcPr>
            <w:tcW w:type="dxa" w:w="4115"/>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県内30位</w:t>
            </w:r>
          </w:p>
        </w:tc>
      </w:tr>
    </w:tbl>
    <w:p>
      <w:pPr>
        <w:spacing w:after="40"/>
      </w:pPr>
    </w:p>
    <w:p>
      <w:pPr>
        <w:spacing w:before="60" w:after="60"/>
      </w:pPr>
      <w:r>
        <w:rPr>
          <w:rFonts w:ascii="BIZ UDPゴシック" w:hAnsi="BIZ UDPゴシック" w:eastAsia="BIZ UDPゴシック"/>
          <w:b/>
          <w:i w:val="0"/>
          <w:sz w:val="24"/>
        </w:rPr>
        <w:t>認定率は県内2位と高い一方、給付月額は県内中位です。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上位3つはいずれも需要側の理由です。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町内定員（令和7年度）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06"/>
        <w:gridCol w:w="7831"/>
      </w:tblGrid>
      <w:tr>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83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06"/>
            <w:vAlign w:val="center"/>
          </w:tcPr>
          <w:p>
            <w:pPr>
              <w:spacing w:before="20" w:after="20"/>
            </w:pPr>
            <w:r>
              <w:rPr>
                <w:rFonts w:ascii="BIZ UDPゴシック" w:hAnsi="BIZ UDPゴシック" w:eastAsia="BIZ UDPゴシック"/>
                <w:b w:val="0"/>
                <w:i w:val="0"/>
                <w:sz w:val="22"/>
              </w:rPr>
              <w:t>第9期での課題</w:t>
            </w:r>
          </w:p>
        </w:tc>
        <w:tc>
          <w:tcPr>
            <w:tcW w:type="dxa" w:w="783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806"/>
            <w:vAlign w:val="center"/>
          </w:tcPr>
          <w:p>
            <w:pPr>
              <w:spacing w:before="20" w:after="20"/>
            </w:pPr>
            <w:r>
              <w:rPr>
                <w:rFonts w:ascii="BIZ UDPゴシック" w:hAnsi="BIZ UDPゴシック" w:eastAsia="BIZ UDPゴシック"/>
                <w:b w:val="0"/>
                <w:i w:val="0"/>
                <w:sz w:val="22"/>
              </w:rPr>
              <w:t>令和7年度調査からみた状況</w:t>
            </w:r>
          </w:p>
        </w:tc>
        <w:tc>
          <w:tcPr>
            <w:tcW w:type="dxa" w:w="783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806"/>
            <w:vAlign w:val="center"/>
          </w:tcPr>
          <w:p>
            <w:pPr>
              <w:spacing w:before="20" w:after="20"/>
            </w:pPr>
            <w:r>
              <w:rPr>
                <w:rFonts w:ascii="BIZ UDPゴシック" w:hAnsi="BIZ UDPゴシック" w:eastAsia="BIZ UDPゴシック"/>
                <w:b w:val="0"/>
                <w:i w:val="0"/>
                <w:sz w:val="22"/>
              </w:rPr>
              <w:t>介護予防の実施状況</w:t>
            </w:r>
          </w:p>
        </w:tc>
        <w:tc>
          <w:tcPr>
            <w:tcW w:type="dxa" w:w="783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806"/>
            <w:vAlign w:val="center"/>
          </w:tcPr>
          <w:p>
            <w:pPr>
              <w:spacing w:before="20" w:after="20"/>
            </w:pPr>
            <w:r>
              <w:rPr>
                <w:rFonts w:ascii="BIZ UDPゴシック" w:hAnsi="BIZ UDPゴシック" w:eastAsia="BIZ UDPゴシック"/>
                <w:b/>
                <w:i w:val="0"/>
                <w:sz w:val="22"/>
              </w:rPr>
              <w:t>多様なサービス・活動の実施状況</w:t>
            </w:r>
          </w:p>
        </w:tc>
        <w:tc>
          <w:tcPr>
            <w:tcW w:type="dxa" w:w="7831"/>
            <w:vAlign w:val="center"/>
          </w:tcPr>
          <w:p>
            <w:pPr>
              <w:spacing w:before="20" w:after="20"/>
            </w:pPr>
            <w:r>
              <w:rPr>
                <w:rFonts w:ascii="BIZ UDPゴシック" w:hAnsi="BIZ UDPゴシック" w:eastAsia="BIZ UDPゴシック"/>
                <w:b/>
                <w:i w:val="0"/>
                <w:sz w:val="22"/>
              </w:rPr>
              <w:t>本町には訪問型サービスB及び通所型サービスB（住民主体によるサービス）が置かれている。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BIZ UDPゴシック" w:hAnsi="BIZ UDPゴシック" w:eastAsia="BIZ UDPゴシック"/>
                <w:b/>
                <w:i w:val="0"/>
                <w:sz w:val="22"/>
              </w:rPr>
              <w:t>ただし令和4年度・令和5年度の実施の有無は無回答で、令和5年度の利用者数は訪問型B 24人に対し通所型Bは0人である。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現在の実施状況と利用者数は【町データ待ち】</w:t>
            </w:r>
          </w:p>
        </w:tc>
      </w:tr>
      <w:tr>
        <w:tc>
          <w:tcPr>
            <w:tcW w:type="dxa" w:w="1806"/>
            <w:vAlign w:val="center"/>
          </w:tcPr>
          <w:p>
            <w:pPr>
              <w:spacing w:before="20" w:after="20"/>
            </w:pPr>
            <w:r>
              <w:rPr>
                <w:rFonts w:ascii="BIZ UDPゴシック" w:hAnsi="BIZ UDPゴシック" w:eastAsia="BIZ UDPゴシック"/>
                <w:b/>
                <w:i w:val="0"/>
                <w:sz w:val="22"/>
              </w:rPr>
              <w:t>第10期での課題</w:t>
            </w:r>
          </w:p>
        </w:tc>
        <w:tc>
          <w:tcPr>
            <w:tcW w:type="dxa" w:w="783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8"/>
        <w:gridCol w:w="7590"/>
      </w:tblGrid>
      <w:tr>
        <w:tc>
          <w:tcPr>
            <w:tcW w:type="dxa" w:w="20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59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048"/>
            <w:vAlign w:val="center"/>
          </w:tcPr>
          <w:p>
            <w:pPr>
              <w:spacing w:before="20" w:after="20"/>
            </w:pPr>
            <w:r>
              <w:rPr>
                <w:rFonts w:ascii="BIZ UDPゴシック" w:hAnsi="BIZ UDPゴシック" w:eastAsia="BIZ UDPゴシック"/>
                <w:b w:val="0"/>
                <w:i w:val="0"/>
                <w:sz w:val="22"/>
              </w:rPr>
              <w:t>第9期での課題</w:t>
            </w:r>
          </w:p>
        </w:tc>
        <w:tc>
          <w:tcPr>
            <w:tcW w:type="dxa" w:w="7590"/>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2048"/>
            <w:vAlign w:val="center"/>
          </w:tcPr>
          <w:p>
            <w:pPr>
              <w:spacing w:before="20" w:after="20"/>
            </w:pPr>
            <w:r>
              <w:rPr>
                <w:rFonts w:ascii="BIZ UDPゴシック" w:hAnsi="BIZ UDPゴシック" w:eastAsia="BIZ UDPゴシック"/>
                <w:b w:val="0"/>
                <w:i w:val="0"/>
                <w:sz w:val="22"/>
              </w:rPr>
              <w:t>令和7年度調査からみた状況</w:t>
            </w:r>
          </w:p>
        </w:tc>
        <w:tc>
          <w:tcPr>
            <w:tcW w:type="dxa" w:w="7590"/>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2048"/>
            <w:vAlign w:val="center"/>
          </w:tcPr>
          <w:p>
            <w:pPr>
              <w:spacing w:before="20" w:after="20"/>
            </w:pPr>
            <w:r>
              <w:rPr>
                <w:rFonts w:ascii="BIZ UDPゴシック" w:hAnsi="BIZ UDPゴシック" w:eastAsia="BIZ UDPゴシック"/>
                <w:b w:val="0"/>
                <w:i w:val="0"/>
                <w:sz w:val="22"/>
              </w:rPr>
              <w:t>認知症施策の実施状況</w:t>
            </w:r>
          </w:p>
        </w:tc>
        <w:tc>
          <w:tcPr>
            <w:tcW w:type="dxa" w:w="7590"/>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2048"/>
            <w:vAlign w:val="center"/>
          </w:tcPr>
          <w:p>
            <w:pPr>
              <w:spacing w:before="20" w:after="20"/>
            </w:pPr>
            <w:r>
              <w:rPr>
                <w:rFonts w:ascii="BIZ UDPゴシック" w:hAnsi="BIZ UDPゴシック" w:eastAsia="BIZ UDPゴシック"/>
                <w:b w:val="0"/>
                <w:i w:val="0"/>
                <w:sz w:val="22"/>
              </w:rPr>
              <w:t>災害時の状況</w:t>
            </w:r>
          </w:p>
        </w:tc>
        <w:tc>
          <w:tcPr>
            <w:tcW w:type="dxa" w:w="7590"/>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2048"/>
            <w:vAlign w:val="center"/>
          </w:tcPr>
          <w:p>
            <w:pPr>
              <w:spacing w:before="20" w:after="20"/>
            </w:pPr>
            <w:r>
              <w:rPr>
                <w:rFonts w:ascii="BIZ UDPゴシック" w:hAnsi="BIZ UDPゴシック" w:eastAsia="BIZ UDPゴシック"/>
                <w:b/>
                <w:i w:val="0"/>
                <w:sz w:val="22"/>
              </w:rPr>
              <w:t>第10期での課題</w:t>
            </w:r>
          </w:p>
        </w:tc>
        <w:tc>
          <w:tcPr>
            <w:tcW w:type="dxa" w:w="7590"/>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住民が必要とする支援の上位2つが相談窓口の充実（54.1％）と情報提供（51.9％）である。</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在宅の要介護認定者の42.1％が介護保険サービスを利用しておらず、その理由は需要側のものが上位を占める（複数回答・n=154）。</w:t>
            </w:r>
            <w:r>
              <w:rPr>
                <w:rFonts w:ascii="BIZ UDPゴシック" w:hAnsi="BIZ UDPゴシック" w:eastAsia="BIZ UDPゴシック"/>
                <w:b w:val="0"/>
                <w:i w:val="0"/>
                <w:sz w:val="22"/>
              </w:rPr>
              <w:t>供給側の理由を挙げた方は1人、費用は6人、手続きの分かりにくさは7人にとどまる（複数回答・n=154）</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5"/>
        <w:gridCol w:w="2139"/>
        <w:gridCol w:w="1650"/>
        <w:gridCol w:w="3833"/>
      </w:tblGrid>
      <w:tr>
        <w:tc>
          <w:tcPr>
            <w:tcW w:type="dxa" w:w="2015"/>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50"/>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833"/>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15"/>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139"/>
            <w:vAlign w:val="center"/>
          </w:tcPr>
          <w:p>
            <w:pPr>
              <w:spacing w:before="20" w:after="20"/>
            </w:pPr>
            <w:r>
              <w:rPr>
                <w:rFonts w:ascii="BIZ UDPゴシック" w:hAnsi="BIZ UDPゴシック" w:eastAsia="BIZ UDPゴシック"/>
                <w:b w:val="0"/>
                <w:i w:val="0"/>
                <w:sz w:val="22"/>
              </w:rPr>
              <w:t>① 健康づくりの推進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2　安全・安心な暮らしの確保</w:t>
            </w:r>
          </w:p>
        </w:tc>
        <w:tc>
          <w:tcPr>
            <w:tcW w:type="dxa" w:w="2139"/>
            <w:vAlign w:val="center"/>
          </w:tcPr>
          <w:p>
            <w:pPr>
              <w:spacing w:before="20" w:after="20"/>
            </w:pPr>
            <w:r>
              <w:rPr>
                <w:rFonts w:ascii="BIZ UDPゴシック" w:hAnsi="BIZ UDPゴシック" w:eastAsia="BIZ UDPゴシック"/>
                <w:b w:val="0"/>
                <w:i w:val="0"/>
                <w:sz w:val="22"/>
              </w:rPr>
              <w:t>① 地域の支え合いの支援</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成年後見制度の利用促進</w:t>
            </w:r>
          </w:p>
        </w:tc>
        <w:tc>
          <w:tcPr>
            <w:tcW w:type="dxa" w:w="1650"/>
            <w:vAlign w:val="center"/>
          </w:tcPr>
          <w:p>
            <w:pPr>
              <w:spacing w:before="20" w:after="20"/>
            </w:pPr>
            <w:r>
              <w:rPr>
                <w:rFonts w:ascii="BIZ UDPゴシック" w:hAnsi="BIZ UDPゴシック" w:eastAsia="BIZ UDPゴシック"/>
                <w:b/>
                <w:i w:val="0"/>
                <w:sz w:val="22"/>
              </w:rPr>
              <w:t>地域福祉計画に移管</w:t>
            </w:r>
          </w:p>
        </w:tc>
        <w:tc>
          <w:tcPr>
            <w:tcW w:type="dxa" w:w="3833"/>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④ 認知症施策の充実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⑤ 高齢者虐待防止の推進</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⑥ 災害・感染症対応等の充実</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⑦ 多様な生活支援の充実</w:t>
            </w:r>
          </w:p>
        </w:tc>
        <w:tc>
          <w:tcPr>
            <w:tcW w:type="dxa" w:w="1650"/>
            <w:vAlign w:val="center"/>
          </w:tcPr>
          <w:p>
            <w:pPr>
              <w:spacing w:before="20" w:after="20"/>
            </w:pPr>
            <w:r>
              <w:rPr>
                <w:rFonts w:ascii="BIZ UDPゴシック" w:hAnsi="BIZ UDPゴシック" w:eastAsia="BIZ UDPゴシック"/>
                <w:b w:val="0"/>
                <w:i w:val="0"/>
                <w:sz w:val="22"/>
              </w:rPr>
              <w:t>継承（一部連携）</w:t>
            </w:r>
          </w:p>
        </w:tc>
        <w:tc>
          <w:tcPr>
            <w:tcW w:type="dxa" w:w="3833"/>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3　介護サービスの充実</w:t>
            </w:r>
          </w:p>
        </w:tc>
        <w:tc>
          <w:tcPr>
            <w:tcW w:type="dxa" w:w="213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在宅の要介護認定者の42.1％が未利用であり、その理由は需要側のものが上位を占める（複数回答・n=154）</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、住民が必要と考える支援は「相談窓口の充実」54.1％、「認知症に関する情報提供」51.9％が上位を占めました。一方、「認知症カフェの開催」は9.2％にとどまりました。</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⑦ 在宅医療・介護連携の推進</w:t>
      </w:r>
    </w:p>
    <w:p>
      <w:pPr>
        <w:spacing w:before="60" w:after="60"/>
      </w:pPr>
      <w:r>
        <w:rPr>
          <w:rFonts w:ascii="BIZ UDPゴシック" w:hAnsi="BIZ UDPゴシック" w:eastAsia="BIZ UDPゴシック"/>
          <w:b w:val="0"/>
          <w:i w:val="0"/>
          <w:sz w:val="24"/>
        </w:rPr>
        <w:t>【現状と課題】在宅医療・介護連携推進事業は、包括的支援事業（社会保障充実分）として実施しています。</w:t>
      </w:r>
      <w:r>
        <w:rPr>
          <w:rFonts w:ascii="BIZ UDPゴシック" w:hAnsi="BIZ UDPゴシック" w:eastAsia="BIZ UDPゴシック"/>
          <w:b/>
          <w:i w:val="0"/>
          <w:sz w:val="24"/>
        </w:rPr>
        <w:t>医療・介護関係者間の情報共有の体制と、相談窓口の設置・多職種を対象とした研修は、すでに整っています。</w:t>
      </w:r>
    </w:p>
    <w:p>
      <w:pPr>
        <w:spacing w:before="60" w:after="60"/>
      </w:pPr>
      <w:r>
        <w:rPr>
          <w:rFonts w:ascii="BIZ UDPゴシック" w:hAnsi="BIZ UDPゴシック" w:eastAsia="BIZ UDPゴシック"/>
          <w:b/>
          <w:i w:val="0"/>
          <w:sz w:val="24"/>
        </w:rPr>
        <w:t>一方、国の評価指標（保険者機能強化推進交付金等）に照らすと、在宅医療・介護連携は、本町の取組がもっとも遅れている分野です。</w:t>
      </w:r>
      <w:r>
        <w:rPr>
          <w:rFonts w:ascii="BIZ UDPゴシック" w:hAnsi="BIZ UDPゴシック" w:eastAsia="BIZ UDPゴシック"/>
          <w:b w:val="0"/>
          <w:i w:val="0"/>
          <w:sz w:val="24"/>
        </w:rPr>
        <w:t>仕組みの面で足りていないのは、</w:t>
      </w:r>
      <w:r>
        <w:rPr>
          <w:rFonts w:ascii="BIZ UDPゴシック" w:hAnsi="BIZ UDPゴシック" w:eastAsia="BIZ UDPゴシック"/>
          <w:b/>
          <w:i w:val="0"/>
          <w:sz w:val="24"/>
        </w:rPr>
        <w:t>①今後のニーズを踏まえた場面ごとの目指すべき姿の設定、②そこから導かれる課題と対応策の立案、③取組の検証と見直しの仕組み</w:t>
      </w:r>
      <w:r>
        <w:rPr>
          <w:rFonts w:ascii="BIZ UDPゴシック" w:hAnsi="BIZ UDPゴシック" w:eastAsia="BIZ UDPゴシック"/>
          <w:b w:val="0"/>
          <w:i w:val="0"/>
          <w:sz w:val="24"/>
        </w:rPr>
        <w:t>の3つです。</w:t>
      </w:r>
    </w:p>
    <w:p>
      <w:pPr>
        <w:spacing w:before="60" w:after="60"/>
      </w:pPr>
      <w:r>
        <w:rPr>
          <w:rFonts w:ascii="BIZ UDPゴシック" w:hAnsi="BIZ UDPゴシック" w:eastAsia="BIZ UDPゴシック"/>
          <w:b/>
          <w:i w:val="0"/>
          <w:sz w:val="24"/>
        </w:rPr>
        <w:t>実績の面では、入退院支援と看取りが弱くなっています。</w:t>
      </w:r>
      <w:r>
        <w:rPr>
          <w:rFonts w:ascii="BIZ UDPゴシック" w:hAnsi="BIZ UDPゴシック" w:eastAsia="BIZ UDPゴシック"/>
          <w:b/>
          <w:i w:val="0"/>
          <w:sz w:val="24"/>
        </w:rPr>
        <w:t>入院時情報連携加算の算定者数割合は全保険者の上位1割にある一方、退院・退所加算の算定者数割合は上位7割にも入っていません。</w:t>
      </w:r>
      <w:r>
        <w:rPr>
          <w:rFonts w:ascii="BIZ UDPゴシック" w:hAnsi="BIZ UDPゴシック" w:eastAsia="BIZ UDPゴシック"/>
          <w:b/>
          <w:i w:val="0"/>
          <w:sz w:val="24"/>
        </w:rPr>
        <w:t>在宅ターミナルケアを受けた患者数割合・看取り加算の算定者数割合も上位7割にとどまります。</w:t>
      </w:r>
      <w:r>
        <w:rPr>
          <w:rFonts w:ascii="BIZ UDPゴシック" w:hAnsi="BIZ UDPゴシック" w:eastAsia="BIZ UDPゴシック"/>
          <w:b w:val="0"/>
          <w:i w:val="0"/>
          <w:sz w:val="24"/>
        </w:rPr>
        <w:t>入院時に介護支援専門員から病院へ情報が渡る流れはできている一方、</w:t>
      </w:r>
      <w:r>
        <w:rPr>
          <w:rFonts w:ascii="BIZ UDPゴシック" w:hAnsi="BIZ UDPゴシック" w:eastAsia="BIZ UDPゴシック"/>
          <w:b/>
          <w:i w:val="0"/>
          <w:sz w:val="24"/>
        </w:rPr>
        <w:t>退院時に病院から介護支援専門員へ戻る流れと、最期まで在宅で過ごすための支援に課題があります。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国の評価指標に沿って、在宅医療と介護の提供体制の目指すべき姿を4つの場面ごとに設定し、課題・対応策・検証の仕組みまでを本計画に定めます。</w:t>
      </w:r>
      <w:r>
        <w:rPr>
          <w:rFonts w:ascii="BIZ UDPゴシック" w:hAnsi="BIZ UDPゴシック" w:eastAsia="BIZ UDPゴシック"/>
          <w:b w:val="0"/>
          <w:i w:val="0"/>
          <w:sz w:val="24"/>
        </w:rPr>
        <w:t>公立小野町地方綜合病院、田村郡医師会、郡内の医療機関等との連携により進めます。</w:t>
      </w:r>
    </w:p>
    <w:p>
      <w:pPr>
        <w:spacing w:before="60" w:after="60"/>
      </w:pPr>
      <w:r>
        <w:rPr>
          <w:rFonts w:ascii="BIZ UDPゴシック" w:hAnsi="BIZ UDPゴシック" w:eastAsia="BIZ UDPゴシック"/>
          <w:b/>
          <w:i w:val="0"/>
          <w:sz w:val="24"/>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4"/>
        <w:gridCol w:w="4328"/>
        <w:gridCol w:w="3446"/>
      </w:tblGrid>
      <w:tr>
        <w:tc>
          <w:tcPr>
            <w:tcW w:type="dxa" w:w="1864"/>
            <w:shd w:val="clear" w:fill="1F3864"/>
            <w:vAlign w:val="center"/>
          </w:tcPr>
          <w:p>
            <w:pPr>
              <w:spacing w:before="20" w:after="20"/>
              <w:jc w:val="center"/>
            </w:pPr>
            <w:r>
              <w:rPr>
                <w:rFonts w:ascii="BIZ UDPゴシック" w:hAnsi="BIZ UDPゴシック" w:eastAsia="BIZ UDPゴシック"/>
                <w:b/>
                <w:i w:val="0"/>
                <w:color w:val="FFFFFF"/>
                <w:sz w:val="22"/>
              </w:rPr>
              <w:t>場面</w:t>
            </w:r>
          </w:p>
        </w:tc>
        <w:tc>
          <w:tcPr>
            <w:tcW w:type="dxa" w:w="4328"/>
            <w:shd w:val="clear" w:fill="1F3864"/>
            <w:vAlign w:val="center"/>
          </w:tcPr>
          <w:p>
            <w:pPr>
              <w:spacing w:before="20" w:after="20"/>
              <w:jc w:val="center"/>
            </w:pPr>
            <w:r>
              <w:rPr>
                <w:rFonts w:ascii="BIZ UDPゴシック" w:hAnsi="BIZ UDPゴシック" w:eastAsia="BIZ UDPゴシック"/>
                <w:b/>
                <w:i w:val="0"/>
                <w:color w:val="FFFFFF"/>
                <w:sz w:val="22"/>
              </w:rPr>
              <w:t>目指すべき姿</w:t>
            </w:r>
          </w:p>
        </w:tc>
        <w:tc>
          <w:tcPr>
            <w:tcW w:type="dxa" w:w="3446"/>
            <w:shd w:val="clear" w:fill="1F3864"/>
            <w:vAlign w:val="center"/>
          </w:tcPr>
          <w:p>
            <w:pPr>
              <w:spacing w:before="20" w:after="20"/>
              <w:jc w:val="center"/>
            </w:pPr>
            <w:r>
              <w:rPr>
                <w:rFonts w:ascii="BIZ UDPゴシック" w:hAnsi="BIZ UDPゴシック" w:eastAsia="BIZ UDPゴシック"/>
                <w:b/>
                <w:i w:val="0"/>
                <w:color w:val="FFFFFF"/>
                <w:sz w:val="22"/>
              </w:rPr>
              <w:t>主な取組</w:t>
            </w:r>
          </w:p>
        </w:tc>
      </w:tr>
      <w:tr>
        <w:tc>
          <w:tcPr>
            <w:tcW w:type="dxa" w:w="1864"/>
            <w:vAlign w:val="center"/>
          </w:tcPr>
          <w:p>
            <w:pPr>
              <w:spacing w:before="20" w:after="20"/>
            </w:pPr>
            <w:r>
              <w:rPr>
                <w:rFonts w:ascii="BIZ UDPゴシック" w:hAnsi="BIZ UDPゴシック" w:eastAsia="BIZ UDPゴシック"/>
                <w:b/>
                <w:i w:val="0"/>
                <w:sz w:val="22"/>
              </w:rPr>
              <w:t>① 日常の療養支援</w:t>
            </w:r>
          </w:p>
        </w:tc>
        <w:tc>
          <w:tcPr>
            <w:tcW w:type="dxa" w:w="4328"/>
            <w:vAlign w:val="center"/>
          </w:tcPr>
          <w:p>
            <w:pPr>
              <w:spacing w:before="20" w:after="20"/>
            </w:pPr>
            <w:r>
              <w:rPr>
                <w:rFonts w:ascii="BIZ UDPゴシック" w:hAnsi="BIZ UDPゴシック" w:eastAsia="BIZ UDPゴシック"/>
                <w:b/>
                <w:i w:val="0"/>
                <w:sz w:val="22"/>
              </w:rPr>
              <w:t>慢性疾患を持ちながら在宅で暮らす高齢者が、かかりつけ医と介護サービスの双方の支援を受けて住み慣れた地域で療養を続けられる</w:t>
            </w:r>
          </w:p>
        </w:tc>
        <w:tc>
          <w:tcPr>
            <w:tcW w:type="dxa" w:w="3446"/>
            <w:vAlign w:val="center"/>
          </w:tcPr>
          <w:p>
            <w:pPr>
              <w:spacing w:before="20" w:after="20"/>
            </w:pPr>
            <w:r>
              <w:rPr>
                <w:rFonts w:ascii="BIZ UDPゴシック" w:hAnsi="BIZ UDPゴシック" w:eastAsia="BIZ UDPゴシック"/>
                <w:b w:val="0"/>
                <w:i w:val="0"/>
                <w:sz w:val="22"/>
              </w:rPr>
              <w:t>医療・介護関係者間の情報共有、多職種による支援の調整、訪問看護の確保</w:t>
            </w:r>
          </w:p>
        </w:tc>
      </w:tr>
      <w:tr>
        <w:tc>
          <w:tcPr>
            <w:tcW w:type="dxa" w:w="1864"/>
            <w:vAlign w:val="center"/>
          </w:tcPr>
          <w:p>
            <w:pPr>
              <w:spacing w:before="20" w:after="20"/>
            </w:pPr>
            <w:r>
              <w:rPr>
                <w:rFonts w:ascii="BIZ UDPゴシック" w:hAnsi="BIZ UDPゴシック" w:eastAsia="BIZ UDPゴシック"/>
                <w:b/>
                <w:i w:val="0"/>
                <w:sz w:val="22"/>
              </w:rPr>
              <w:t>② 入退院支援</w:t>
            </w:r>
          </w:p>
        </w:tc>
        <w:tc>
          <w:tcPr>
            <w:tcW w:type="dxa" w:w="4328"/>
            <w:vAlign w:val="center"/>
          </w:tcPr>
          <w:p>
            <w:pPr>
              <w:spacing w:before="20" w:after="20"/>
            </w:pPr>
            <w:r>
              <w:rPr>
                <w:rFonts w:ascii="BIZ UDPゴシック" w:hAnsi="BIZ UDPゴシック" w:eastAsia="BIZ UDPゴシック"/>
                <w:b/>
                <w:i w:val="0"/>
                <w:sz w:val="22"/>
              </w:rPr>
              <w:t>入院時に介護支援専門員から病院へ、退院時に病院から介護支援専門員へ、必要な情報が確実に引き継がれる</w:t>
            </w:r>
          </w:p>
        </w:tc>
        <w:tc>
          <w:tcPr>
            <w:tcW w:type="dxa" w:w="3446"/>
            <w:vAlign w:val="center"/>
          </w:tcPr>
          <w:p>
            <w:pPr>
              <w:spacing w:before="20" w:after="20"/>
            </w:pPr>
            <w:r>
              <w:rPr>
                <w:rFonts w:ascii="BIZ UDPゴシック" w:hAnsi="BIZ UDPゴシック" w:eastAsia="BIZ UDPゴシック"/>
                <w:b w:val="0"/>
                <w:i w:val="0"/>
                <w:sz w:val="22"/>
              </w:rPr>
              <w:t>入退院時連携の手順の共有、入院時情報連携加算・退院・退所加算の算定状況の把握</w:t>
            </w:r>
          </w:p>
        </w:tc>
      </w:tr>
      <w:tr>
        <w:tc>
          <w:tcPr>
            <w:tcW w:type="dxa" w:w="1864"/>
            <w:vAlign w:val="center"/>
          </w:tcPr>
          <w:p>
            <w:pPr>
              <w:spacing w:before="20" w:after="20"/>
            </w:pPr>
            <w:r>
              <w:rPr>
                <w:rFonts w:ascii="BIZ UDPゴシック" w:hAnsi="BIZ UDPゴシック" w:eastAsia="BIZ UDPゴシック"/>
                <w:b/>
                <w:i w:val="0"/>
                <w:sz w:val="22"/>
              </w:rPr>
              <w:t>③ 急変時の対応</w:t>
            </w:r>
          </w:p>
        </w:tc>
        <w:tc>
          <w:tcPr>
            <w:tcW w:type="dxa" w:w="4328"/>
            <w:vAlign w:val="center"/>
          </w:tcPr>
          <w:p>
            <w:pPr>
              <w:spacing w:before="20" w:after="20"/>
            </w:pPr>
            <w:r>
              <w:rPr>
                <w:rFonts w:ascii="BIZ UDPゴシック" w:hAnsi="BIZ UDPゴシック" w:eastAsia="BIZ UDPゴシック"/>
                <w:b/>
                <w:i w:val="0"/>
                <w:sz w:val="22"/>
              </w:rPr>
              <w:t>急変時の連絡先と対応の手順が、本人・家族・関係者の間であらかじめ共有されている</w:t>
            </w:r>
          </w:p>
        </w:tc>
        <w:tc>
          <w:tcPr>
            <w:tcW w:type="dxa" w:w="3446"/>
            <w:vAlign w:val="center"/>
          </w:tcPr>
          <w:p>
            <w:pPr>
              <w:spacing w:before="20" w:after="20"/>
            </w:pPr>
            <w:r>
              <w:rPr>
                <w:rFonts w:ascii="BIZ UDPゴシック" w:hAnsi="BIZ UDPゴシック" w:eastAsia="BIZ UDPゴシック"/>
                <w:b w:val="0"/>
                <w:i w:val="0"/>
                <w:sz w:val="22"/>
              </w:rPr>
              <w:t>急変時の対応方針の共有、救急搬送時の情報提供の仕組み</w:t>
            </w:r>
          </w:p>
        </w:tc>
      </w:tr>
      <w:tr>
        <w:tc>
          <w:tcPr>
            <w:tcW w:type="dxa" w:w="1864"/>
            <w:vAlign w:val="center"/>
          </w:tcPr>
          <w:p>
            <w:pPr>
              <w:spacing w:before="20" w:after="20"/>
            </w:pPr>
            <w:r>
              <w:rPr>
                <w:rFonts w:ascii="BIZ UDPゴシック" w:hAnsi="BIZ UDPゴシック" w:eastAsia="BIZ UDPゴシック"/>
                <w:b/>
                <w:i w:val="0"/>
                <w:sz w:val="22"/>
              </w:rPr>
              <w:t>④ 看取り</w:t>
            </w:r>
          </w:p>
        </w:tc>
        <w:tc>
          <w:tcPr>
            <w:tcW w:type="dxa" w:w="4328"/>
            <w:vAlign w:val="center"/>
          </w:tcPr>
          <w:p>
            <w:pPr>
              <w:spacing w:before="20" w:after="20"/>
            </w:pPr>
            <w:r>
              <w:rPr>
                <w:rFonts w:ascii="BIZ UDPゴシック" w:hAnsi="BIZ UDPゴシック" w:eastAsia="BIZ UDPゴシック"/>
                <w:b/>
                <w:i w:val="0"/>
                <w:sz w:val="22"/>
              </w:rPr>
              <w:t>本人の希望を踏まえ、在宅での看取りを選ぶことができる体制がある</w:t>
            </w:r>
          </w:p>
        </w:tc>
        <w:tc>
          <w:tcPr>
            <w:tcW w:type="dxa" w:w="3446"/>
            <w:vAlign w:val="center"/>
          </w:tcPr>
          <w:p>
            <w:pPr>
              <w:spacing w:before="20" w:after="20"/>
            </w:pPr>
            <w:r>
              <w:rPr>
                <w:rFonts w:ascii="BIZ UDPゴシック" w:hAnsi="BIZ UDPゴシック" w:eastAsia="BIZ UDPゴシック"/>
                <w:b w:val="0"/>
                <w:i w:val="0"/>
                <w:sz w:val="22"/>
              </w:rPr>
              <w:t>人生会議（ACP）の普及、在宅ターミナルケア・看取りの体制の確保、家族への支援</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目標Ⅲ－（ⅰ）－1。</w:t>
      </w:r>
      <w:r>
        <w:rPr>
          <w:rFonts w:ascii="BIZ UDPゴシック" w:hAnsi="BIZ UDPゴシック" w:eastAsia="BIZ UDPゴシック"/>
          <w:b/>
          <w:i w:val="0"/>
          <w:sz w:val="16"/>
        </w:rPr>
        <w:t>同指標は、①日常の療養支援、②入退院支援、③急変時の対応、④看取りの4つの場面ごとに目指すべき姿を設定することを求めています。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16"/>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9"/>
        <w:gridCol w:w="4746"/>
        <w:gridCol w:w="2552"/>
      </w:tblGrid>
      <w:tr>
        <w:tc>
          <w:tcPr>
            <w:tcW w:type="dxa" w:w="2339"/>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4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2"/>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9"/>
            <w:vAlign w:val="center"/>
          </w:tcPr>
          <w:p>
            <w:pPr>
              <w:spacing w:before="20" w:after="20"/>
            </w:pPr>
            <w:r>
              <w:rPr>
                <w:rFonts w:ascii="BIZ UDPゴシック" w:hAnsi="BIZ UDPゴシック" w:eastAsia="BIZ UDPゴシック"/>
                <w:b w:val="0"/>
                <w:i w:val="0"/>
                <w:sz w:val="22"/>
              </w:rPr>
              <w:t>在宅医療・介護連携推進事業</w:t>
            </w:r>
          </w:p>
        </w:tc>
        <w:tc>
          <w:tcPr>
            <w:tcW w:type="dxa" w:w="4746"/>
            <w:vAlign w:val="center"/>
          </w:tcPr>
          <w:p>
            <w:pPr>
              <w:spacing w:before="20" w:after="20"/>
            </w:pPr>
            <w:r>
              <w:rPr>
                <w:rFonts w:ascii="BIZ UDPゴシック" w:hAnsi="BIZ UDPゴシック" w:eastAsia="BIZ UDPゴシック"/>
                <w:b/>
                <w:i w:val="0"/>
                <w:sz w:val="22"/>
              </w:rPr>
              <w:t>4つの場面ごとの目指すべき姿に基づく課題の検討と対応策の立案</w:t>
            </w:r>
            <w:r>
              <w:rPr>
                <w:rFonts w:ascii="BIZ UDPゴシック" w:hAnsi="BIZ UDPゴシック" w:eastAsia="BIZ UDPゴシック"/>
                <w:b w:val="0"/>
                <w:i w:val="0"/>
                <w:sz w:val="22"/>
              </w:rPr>
              <w:t>、医療・介護関係者の情報共有、相談支援、退院時連携</w:t>
            </w:r>
          </w:p>
        </w:tc>
        <w:tc>
          <w:tcPr>
            <w:tcW w:type="dxa" w:w="2552"/>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339"/>
            <w:vAlign w:val="center"/>
          </w:tcPr>
          <w:p>
            <w:pPr>
              <w:spacing w:before="20" w:after="20"/>
            </w:pPr>
            <w:r>
              <w:rPr>
                <w:rFonts w:ascii="BIZ UDPゴシック" w:hAnsi="BIZ UDPゴシック" w:eastAsia="BIZ UDPゴシック"/>
                <w:b/>
                <w:i w:val="0"/>
                <w:sz w:val="22"/>
              </w:rPr>
              <w:t>多職種による研修</w:t>
            </w:r>
          </w:p>
        </w:tc>
        <w:tc>
          <w:tcPr>
            <w:tcW w:type="dxa" w:w="4746"/>
            <w:vAlign w:val="center"/>
          </w:tcPr>
          <w:p>
            <w:pPr>
              <w:spacing w:before="20" w:after="20"/>
            </w:pPr>
            <w:r>
              <w:rPr>
                <w:rFonts w:ascii="BIZ UDPゴシック" w:hAnsi="BIZ UDPゴシック" w:eastAsia="BIZ UDPゴシック"/>
                <w:b/>
                <w:i w:val="0"/>
                <w:sz w:val="22"/>
              </w:rPr>
              <w:t>グループワーク等の参加型研修、事例検討会。県・医師会主催のものへの主体的な関与を含む</w:t>
            </w:r>
          </w:p>
        </w:tc>
        <w:tc>
          <w:tcPr>
            <w:tcW w:type="dxa" w:w="2552"/>
            <w:vAlign w:val="center"/>
          </w:tcPr>
          <w:p>
            <w:pPr>
              <w:spacing w:before="20" w:after="20"/>
            </w:pPr>
            <w:r>
              <w:rPr>
                <w:rFonts w:ascii="BIZ UDPゴシック" w:hAnsi="BIZ UDPゴシック" w:eastAsia="BIZ UDPゴシック"/>
                <w:b w:val="0"/>
                <w:i w:val="0"/>
                <w:sz w:val="22"/>
              </w:rPr>
              <w:t>同上</w:t>
            </w:r>
          </w:p>
        </w:tc>
      </w:tr>
      <w:tr>
        <w:tc>
          <w:tcPr>
            <w:tcW w:type="dxa" w:w="2339"/>
            <w:vAlign w:val="center"/>
          </w:tcPr>
          <w:p>
            <w:pPr>
              <w:spacing w:before="20" w:after="20"/>
            </w:pPr>
            <w:r>
              <w:rPr>
                <w:rFonts w:ascii="BIZ UDPゴシック" w:hAnsi="BIZ UDPゴシック" w:eastAsia="BIZ UDPゴシック"/>
                <w:b/>
                <w:i w:val="0"/>
                <w:sz w:val="22"/>
              </w:rPr>
              <w:t>取組の検証と見直し</w:t>
            </w:r>
          </w:p>
        </w:tc>
        <w:tc>
          <w:tcPr>
            <w:tcW w:type="dxa" w:w="4746"/>
            <w:vAlign w:val="center"/>
          </w:tcPr>
          <w:p>
            <w:pPr>
              <w:spacing w:before="20" w:after="20"/>
            </w:pPr>
            <w:r>
              <w:rPr>
                <w:rFonts w:ascii="BIZ UDPゴシック" w:hAnsi="BIZ UDPゴシック" w:eastAsia="BIZ UDPゴシック"/>
                <w:b/>
                <w:i w:val="0"/>
                <w:sz w:val="22"/>
              </w:rPr>
              <w:t>毎年度、評価指標に基づく検証を行い、課題分析の結果を記録として整理したうえで見直します</w:t>
            </w:r>
          </w:p>
        </w:tc>
        <w:tc>
          <w:tcPr>
            <w:tcW w:type="dxa" w:w="2552"/>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i w:val="0"/>
                <w:sz w:val="22"/>
              </w:rPr>
              <w:t>4つの場面ごとの目指すべき姿の設定</w:t>
            </w:r>
          </w:p>
        </w:tc>
        <w:tc>
          <w:tcPr>
            <w:tcW w:type="dxa" w:w="3003"/>
            <w:vAlign w:val="center"/>
          </w:tcPr>
          <w:p>
            <w:pPr>
              <w:spacing w:before="20" w:after="20"/>
            </w:pPr>
            <w:r>
              <w:rPr>
                <w:rFonts w:ascii="BIZ UDPゴシック" w:hAnsi="BIZ UDPゴシック" w:eastAsia="BIZ UDPゴシック"/>
                <w:b w:val="0"/>
                <w:i w:val="0"/>
                <w:sz w:val="22"/>
              </w:rPr>
              <w:t>未設定</w:t>
            </w:r>
          </w:p>
        </w:tc>
        <w:tc>
          <w:tcPr>
            <w:tcW w:type="dxa" w:w="2709"/>
            <w:vAlign w:val="center"/>
          </w:tcPr>
          <w:p>
            <w:pPr>
              <w:spacing w:before="20" w:after="20"/>
            </w:pPr>
            <w:r>
              <w:rPr>
                <w:rFonts w:ascii="BIZ UDPゴシック" w:hAnsi="BIZ UDPゴシック" w:eastAsia="BIZ UDPゴシック"/>
                <w:b/>
                <w:i w:val="0"/>
                <w:sz w:val="22"/>
              </w:rPr>
              <w:t>令和9年度に設定</w:t>
            </w:r>
          </w:p>
        </w:tc>
      </w:tr>
      <w:tr>
        <w:tc>
          <w:tcPr>
            <w:tcW w:type="dxa" w:w="3926"/>
            <w:vAlign w:val="center"/>
          </w:tcPr>
          <w:p>
            <w:pPr>
              <w:spacing w:before="20" w:after="20"/>
            </w:pPr>
            <w:r>
              <w:rPr>
                <w:rFonts w:ascii="BIZ UDPゴシック" w:hAnsi="BIZ UDPゴシック" w:eastAsia="BIZ UDPゴシック"/>
                <w:b w:val="0"/>
                <w:i w:val="0"/>
                <w:sz w:val="22"/>
              </w:rPr>
              <w:t>多職種研修の開催回数・参加者数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入院時情報連携加算の算定者数割合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退院・退所加算の算定者数割合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i w:val="0"/>
                <w:sz w:val="22"/>
              </w:rPr>
              <w:t>取組の検証の実施</w:t>
            </w:r>
          </w:p>
        </w:tc>
        <w:tc>
          <w:tcPr>
            <w:tcW w:type="dxa" w:w="3003"/>
            <w:vAlign w:val="center"/>
          </w:tcPr>
          <w:p>
            <w:pPr>
              <w:spacing w:before="20" w:after="20"/>
            </w:pPr>
            <w:r>
              <w:rPr>
                <w:rFonts w:ascii="BIZ UDPゴシック" w:hAnsi="BIZ UDPゴシック" w:eastAsia="BIZ UDPゴシック"/>
                <w:b w:val="0"/>
                <w:i w:val="0"/>
                <w:sz w:val="22"/>
              </w:rPr>
              <w:t>―</w:t>
            </w:r>
          </w:p>
        </w:tc>
        <w:tc>
          <w:tcPr>
            <w:tcW w:type="dxa" w:w="2709"/>
            <w:vAlign w:val="center"/>
          </w:tcPr>
          <w:p>
            <w:pPr>
              <w:spacing w:before="20" w:after="20"/>
            </w:pPr>
            <w:r>
              <w:rPr>
                <w:rFonts w:ascii="BIZ UDPゴシック" w:hAnsi="BIZ UDPゴシック" w:eastAsia="BIZ UDPゴシック"/>
                <w:b/>
                <w:i w:val="0"/>
                <w:sz w:val="22"/>
              </w:rPr>
              <w:t>毎年度実施</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認定率は県内2位である一方、給付月額は県内中位であり、在宅の要介護認定者の42.1％がサービスを利用していないことを踏まえると、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85"/>
        <w:gridCol w:w="3315"/>
        <w:gridCol w:w="2638"/>
      </w:tblGrid>
      <w:tr>
        <w:tc>
          <w:tcPr>
            <w:tcW w:type="dxa" w:w="3685"/>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315"/>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685"/>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3315"/>
            <w:vAlign w:val="center"/>
          </w:tcPr>
          <w:p>
            <w:pPr>
              <w:spacing w:before="20" w:after="20"/>
            </w:pPr>
            <w:r>
              <w:rPr>
                <w:rFonts w:ascii="BIZ UDPゴシック" w:hAnsi="BIZ UDPゴシック" w:eastAsia="BIZ UDPゴシック"/>
                <w:b/>
                <w:i w:val="0"/>
                <w:sz w:val="22"/>
              </w:rPr>
              <w:t>実施</w:t>
            </w:r>
          </w:p>
        </w:tc>
        <w:tc>
          <w:tcPr>
            <w:tcW w:type="dxa" w:w="2638"/>
            <w:vAlign w:val="center"/>
          </w:tcPr>
          <w:p>
            <w:pPr>
              <w:spacing w:before="20" w:after="20"/>
            </w:pPr>
            <w:r>
              <w:rPr>
                <w:rFonts w:ascii="BIZ UDPゴシック" w:hAnsi="BIZ UDPゴシック" w:eastAsia="BIZ UDPゴシック"/>
                <w:b/>
                <w:i w:val="0"/>
                <w:sz w:val="22"/>
              </w:rPr>
              <w:t>継続</w:t>
            </w:r>
          </w:p>
        </w:tc>
      </w:tr>
      <w:tr>
        <w:tc>
          <w:tcPr>
            <w:tcW w:type="dxa" w:w="3685"/>
            <w:vAlign w:val="center"/>
          </w:tcPr>
          <w:p>
            <w:pPr>
              <w:spacing w:before="20" w:after="20"/>
            </w:pPr>
            <w:r>
              <w:rPr>
                <w:rFonts w:ascii="BIZ UDPゴシック" w:hAnsi="BIZ UDPゴシック" w:eastAsia="BIZ UDPゴシック"/>
                <w:b w:val="0"/>
                <w:i w:val="0"/>
                <w:sz w:val="22"/>
              </w:rPr>
              <w:t>ケアプラン点検の実施件数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i w:val="0"/>
                <w:sz w:val="22"/>
              </w:rPr>
              <w:t>医療情報との突合の実施割合</w:t>
            </w:r>
          </w:p>
        </w:tc>
        <w:tc>
          <w:tcPr>
            <w:tcW w:type="dxa" w:w="3315"/>
            <w:vAlign w:val="center"/>
          </w:tcPr>
          <w:p>
            <w:pPr>
              <w:spacing w:before="20" w:after="20"/>
            </w:pPr>
            <w:r>
              <w:rPr>
                <w:rFonts w:ascii="BIZ UDPゴシック" w:hAnsi="BIZ UDPゴシック" w:eastAsia="BIZ UDPゴシック"/>
                <w:b/>
                <w:i w:val="0"/>
                <w:sz w:val="22"/>
              </w:rPr>
              <w:t>全国上位1割（令和6年度）</w:t>
            </w:r>
          </w:p>
        </w:tc>
        <w:tc>
          <w:tcPr>
            <w:tcW w:type="dxa" w:w="2638"/>
            <w:vAlign w:val="center"/>
          </w:tcPr>
          <w:p>
            <w:pPr>
              <w:spacing w:before="20" w:after="20"/>
            </w:pPr>
            <w:r>
              <w:rPr>
                <w:rFonts w:ascii="BIZ UDPゴシック" w:hAnsi="BIZ UDPゴシック" w:eastAsia="BIZ UDPゴシック"/>
                <w:b/>
                <w:i w:val="0"/>
                <w:sz w:val="22"/>
              </w:rPr>
              <w:t>水準の維持</w:t>
            </w:r>
          </w:p>
        </w:tc>
      </w:tr>
      <w:tr>
        <w:tc>
          <w:tcPr>
            <w:tcW w:type="dxa" w:w="3685"/>
            <w:vAlign w:val="center"/>
          </w:tcPr>
          <w:p>
            <w:pPr>
              <w:spacing w:before="20" w:after="20"/>
            </w:pPr>
            <w:r>
              <w:rPr>
                <w:rFonts w:ascii="BIZ UDPゴシック" w:hAnsi="BIZ UDPゴシック" w:eastAsia="BIZ UDPゴシック"/>
                <w:b w:val="0"/>
                <w:i w:val="0"/>
                <w:sz w:val="22"/>
              </w:rPr>
              <w:t>要介護度の維持・改善率</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主要3事業は、いずれも実施しています。</w:t>
      </w:r>
      <w:r>
        <w:rPr>
          <w:rFonts w:ascii="BIZ UDPゴシック" w:hAnsi="BIZ UDPゴシック" w:eastAsia="BIZ UDPゴシック"/>
          <w:b/>
          <w:i w:val="0"/>
          <w:sz w:val="24"/>
        </w:rPr>
        <w:t>縦覧点検は、効果が高いとされる4帳票のすべてについて全件点検を行っています。</w:t>
      </w:r>
      <w:r>
        <w:rPr>
          <w:rFonts w:ascii="BIZ UDPゴシック" w:hAnsi="BIZ UDPゴシック" w:eastAsia="BIZ UDPゴシック"/>
          <w:b/>
          <w:i w:val="0"/>
          <w:sz w:val="24"/>
        </w:rPr>
        <w:t>医療情報との突合の実施割合は、全国的にみて高い水準にあります（令和6年度実績で全保険者の上位1割）。</w:t>
      </w:r>
    </w:p>
    <w:p>
      <w:pPr>
        <w:spacing w:before="60" w:after="60"/>
      </w:pPr>
      <w:r>
        <w:rPr>
          <w:rFonts w:ascii="BIZ UDPゴシック" w:hAnsi="BIZ UDPゴシック" w:eastAsia="BIZ UDPゴシック"/>
          <w:b/>
          <w:i w:val="0"/>
          <w:sz w:val="24"/>
        </w:rPr>
        <w:t>一方、ケアプラン等の点検は、実施の水準が全国的にみて低位にとどまっています。</w:t>
      </w:r>
      <w:r>
        <w:rPr>
          <w:rFonts w:ascii="BIZ UDPゴシック" w:hAnsi="BIZ UDPゴシック" w:eastAsia="BIZ UDPゴシック"/>
          <w:b w:val="0"/>
          <w:i w:val="0"/>
          <w:sz w:val="24"/>
        </w:rPr>
        <w:t>国の評価指標は、この実施割合を全保険者の中での相対評価（上位7割・5割・3割・1割）で判定しており、本町は上位7割に入っていません。</w:t>
      </w:r>
      <w:r>
        <w:rPr>
          <w:rFonts w:ascii="BIZ UDPゴシック" w:hAnsi="BIZ UDPゴシック" w:eastAsia="BIZ UDPゴシック"/>
          <w:b/>
          <w:i w:val="0"/>
          <w:sz w:val="24"/>
        </w:rPr>
        <w:t>点検件数は、対象者数に点検対象とした月数を乗じて数えます。</w:t>
      </w:r>
      <w:r>
        <w:rPr>
          <w:rFonts w:ascii="BIZ UDPゴシック" w:hAnsi="BIZ UDPゴシック" w:eastAsia="BIZ UDPゴシック"/>
          <w:b w:val="0"/>
          <w:i w:val="0"/>
          <w:sz w:val="24"/>
        </w:rPr>
        <w:t>町内の居宅介護支援事業所3か所について、</w:t>
      </w:r>
      <w:r>
        <w:rPr>
          <w:rFonts w:ascii="BIZ UDPゴシック" w:hAnsi="BIZ UDPゴシック" w:eastAsia="BIZ UDPゴシック"/>
          <w:b/>
          <w:i w:val="0"/>
          <w:sz w:val="24"/>
        </w:rPr>
        <w:t>事業所あたりの件数と点検する月数を定め、令和9年度当初から件数を積み上げます。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県内2位</w:t>
      </w:r>
      <w:r>
        <w:rPr>
          <w:rFonts w:ascii="BIZ UDPゴシック" w:hAnsi="BIZ UDPゴシック" w:eastAsia="BIZ UDPゴシック"/>
          <w:b w:val="0"/>
          <w:i w:val="0"/>
          <w:sz w:val="24"/>
        </w:rPr>
        <w:t>です。一方、第1号被保険者1人あたり給付月額は1.08にとどまり、在宅サービスは県内23位、施設・居住系は県内30位と中位です。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25"/>
        <w:gridCol w:w="2745"/>
        <w:gridCol w:w="2068"/>
      </w:tblGrid>
      <w:tr>
        <w:tc>
          <w:tcPr>
            <w:tcW w:type="dxa" w:w="482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745"/>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068"/>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482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745"/>
            <w:vAlign w:val="center"/>
          </w:tcPr>
          <w:p>
            <w:pPr>
              <w:spacing w:before="20" w:after="20"/>
            </w:pPr>
            <w:r>
              <w:rPr>
                <w:rFonts w:ascii="BIZ UDPゴシック" w:hAnsi="BIZ UDPゴシック" w:eastAsia="BIZ UDPゴシック"/>
                <w:b/>
                <w:i w:val="0"/>
                <w:sz w:val="22"/>
              </w:rPr>
              <w:t>46.8％</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745"/>
            <w:vAlign w:val="center"/>
          </w:tcPr>
          <w:p>
            <w:pPr>
              <w:spacing w:before="20" w:after="20"/>
            </w:pPr>
            <w:r>
              <w:rPr>
                <w:rFonts w:ascii="BIZ UDPゴシック" w:hAnsi="BIZ UDPゴシック" w:eastAsia="BIZ UDPゴシック"/>
                <w:b/>
                <w:i w:val="0"/>
                <w:sz w:val="22"/>
              </w:rPr>
              <w:t>29.2％</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745"/>
            <w:vAlign w:val="center"/>
          </w:tcPr>
          <w:p>
            <w:pPr>
              <w:spacing w:before="20" w:after="20"/>
            </w:pPr>
            <w:r>
              <w:rPr>
                <w:rFonts w:ascii="BIZ UDPゴシック" w:hAnsi="BIZ UDPゴシック" w:eastAsia="BIZ UDPゴシック"/>
                <w:b/>
                <w:i w:val="0"/>
                <w:sz w:val="22"/>
              </w:rPr>
              <w:t>16.9％</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745"/>
            <w:vAlign w:val="center"/>
          </w:tcPr>
          <w:p>
            <w:pPr>
              <w:spacing w:before="20" w:after="20"/>
            </w:pPr>
            <w:r>
              <w:rPr>
                <w:rFonts w:ascii="BIZ UDPゴシック" w:hAnsi="BIZ UDPゴシック" w:eastAsia="BIZ UDPゴシック"/>
                <w:b w:val="0"/>
                <w:i w:val="0"/>
                <w:sz w:val="22"/>
              </w:rPr>
              <w:t>5.2％</w:t>
            </w:r>
          </w:p>
        </w:tc>
        <w:tc>
          <w:tcPr>
            <w:tcW w:type="dxa" w:w="2068"/>
            <w:vAlign w:val="center"/>
          </w:tcPr>
          <w:p>
            <w:pPr>
              <w:spacing w:before="20" w:after="20"/>
            </w:pPr>
            <w:r>
              <w:rPr>
                <w:rFonts w:ascii="BIZ UDPゴシック" w:hAnsi="BIZ UDPゴシック" w:eastAsia="BIZ UDPゴシック"/>
                <w:b w:val="0"/>
                <w:i w:val="0"/>
                <w:sz w:val="22"/>
              </w:rPr>
              <w:t>―</w:t>
            </w:r>
          </w:p>
        </w:tc>
      </w:tr>
      <w:tr>
        <w:tc>
          <w:tcPr>
            <w:tcW w:type="dxa" w:w="482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745"/>
            <w:vAlign w:val="center"/>
          </w:tcPr>
          <w:p>
            <w:pPr>
              <w:spacing w:before="20" w:after="20"/>
            </w:pPr>
            <w:r>
              <w:rPr>
                <w:rFonts w:ascii="BIZ UDPゴシック" w:hAnsi="BIZ UDPゴシック" w:eastAsia="BIZ UDPゴシック"/>
                <w:b w:val="0"/>
                <w:i w:val="0"/>
                <w:sz w:val="22"/>
              </w:rPr>
              <w:t>4.5％</w:t>
            </w:r>
          </w:p>
        </w:tc>
        <w:tc>
          <w:tcPr>
            <w:tcW w:type="dxa" w:w="2068"/>
            <w:vAlign w:val="center"/>
          </w:tcPr>
          <w:p>
            <w:pPr>
              <w:spacing w:before="20" w:after="20"/>
            </w:pPr>
            <w:r>
              <w:rPr>
                <w:rFonts w:ascii="BIZ UDPゴシック" w:hAnsi="BIZ UDPゴシック" w:eastAsia="BIZ UDPゴシック"/>
                <w:b w:val="0"/>
                <w:i w:val="0"/>
                <w:sz w:val="22"/>
              </w:rPr>
              <w:t>相談体制</w:t>
            </w:r>
          </w:p>
        </w:tc>
      </w:tr>
      <w:tr>
        <w:tc>
          <w:tcPr>
            <w:tcW w:type="dxa" w:w="4825"/>
            <w:vAlign w:val="center"/>
          </w:tcPr>
          <w:p>
            <w:pPr>
              <w:spacing w:before="20" w:after="20"/>
            </w:pPr>
            <w:r>
              <w:rPr>
                <w:rFonts w:ascii="BIZ UDPゴシック" w:hAnsi="BIZ UDPゴシック" w:eastAsia="BIZ UDPゴシック"/>
                <w:b w:val="0"/>
                <w:i w:val="0"/>
                <w:sz w:val="22"/>
              </w:rPr>
              <w:t>利用料を支払うのが難しい</w:t>
            </w:r>
          </w:p>
        </w:tc>
        <w:tc>
          <w:tcPr>
            <w:tcW w:type="dxa" w:w="2745"/>
            <w:vAlign w:val="center"/>
          </w:tcPr>
          <w:p>
            <w:pPr>
              <w:spacing w:before="20" w:after="20"/>
            </w:pPr>
            <w:r>
              <w:rPr>
                <w:rFonts w:ascii="BIZ UDPゴシック" w:hAnsi="BIZ UDPゴシック" w:eastAsia="BIZ UDPゴシック"/>
                <w:b w:val="0"/>
                <w:i w:val="0"/>
                <w:sz w:val="22"/>
              </w:rPr>
              <w:t>3.9％</w:t>
            </w:r>
          </w:p>
        </w:tc>
        <w:tc>
          <w:tcPr>
            <w:tcW w:type="dxa" w:w="2068"/>
            <w:vAlign w:val="center"/>
          </w:tcPr>
          <w:p>
            <w:pPr>
              <w:spacing w:before="20" w:after="20"/>
            </w:pPr>
            <w:r>
              <w:rPr>
                <w:rFonts w:ascii="BIZ UDPゴシック" w:hAnsi="BIZ UDPゴシック" w:eastAsia="BIZ UDPゴシック"/>
                <w:b w:val="0"/>
                <w:i w:val="0"/>
                <w:sz w:val="22"/>
              </w:rPr>
              <w:t>費用</w:t>
            </w:r>
          </w:p>
        </w:tc>
      </w:tr>
      <w:tr>
        <w:tc>
          <w:tcPr>
            <w:tcW w:type="dxa" w:w="482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745"/>
            <w:vAlign w:val="center"/>
          </w:tcPr>
          <w:p>
            <w:pPr>
              <w:spacing w:before="20" w:after="20"/>
            </w:pPr>
            <w:r>
              <w:rPr>
                <w:rFonts w:ascii="BIZ UDPゴシック" w:hAnsi="BIZ UDPゴシック" w:eastAsia="BIZ UDPゴシック"/>
                <w:b w:val="0"/>
                <w:i w:val="0"/>
                <w:sz w:val="22"/>
              </w:rPr>
              <w:t>0.6％</w:t>
            </w:r>
          </w:p>
        </w:tc>
        <w:tc>
          <w:tcPr>
            <w:tcW w:type="dxa" w:w="2068"/>
            <w:vAlign w:val="center"/>
          </w:tcPr>
          <w:p>
            <w:pPr>
              <w:spacing w:before="20" w:after="20"/>
            </w:pPr>
            <w:r>
              <w:rPr>
                <w:rFonts w:ascii="BIZ UDPゴシック" w:hAnsi="BIZ UDPゴシック" w:eastAsia="BIZ UDPゴシック"/>
                <w:b w:val="0"/>
                <w:i w:val="0"/>
                <w:sz w:val="22"/>
              </w:rPr>
              <w:t>供給側</w:t>
            </w:r>
          </w:p>
        </w:tc>
      </w:tr>
      <w:tr>
        <w:tc>
          <w:tcPr>
            <w:tcW w:type="dxa" w:w="482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745"/>
            <w:vAlign w:val="center"/>
          </w:tcPr>
          <w:p>
            <w:pPr>
              <w:spacing w:before="20" w:after="20"/>
            </w:pPr>
            <w:r>
              <w:rPr>
                <w:rFonts w:ascii="BIZ UDPゴシック" w:hAnsi="BIZ UDPゴシック" w:eastAsia="BIZ UDPゴシック"/>
                <w:b/>
                <w:i w:val="0"/>
                <w:sz w:val="22"/>
              </w:rPr>
              <w:t>0.6％（1人）</w:t>
            </w:r>
          </w:p>
        </w:tc>
        <w:tc>
          <w:tcPr>
            <w:tcW w:type="dxa" w:w="2068"/>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i w:val="0"/>
          <w:sz w:val="24"/>
        </w:rPr>
        <w:t>供給側の理由を挙げた方は各1人にとどまり、費用は3.9％（6人）、手続きの分かりにくさは4.5％（7人）です。上位3つはいずれも需要側の理由です。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8"/>
        <w:gridCol w:w="4809"/>
        <w:gridCol w:w="2550"/>
      </w:tblGrid>
      <w:tr>
        <w:tc>
          <w:tcPr>
            <w:tcW w:type="dxa" w:w="227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0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0"/>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78"/>
            <w:vAlign w:val="center"/>
          </w:tcPr>
          <w:p>
            <w:pPr>
              <w:spacing w:before="20" w:after="20"/>
            </w:pPr>
            <w:r>
              <w:rPr>
                <w:rFonts w:ascii="BIZ UDPゴシック" w:hAnsi="BIZ UDPゴシック" w:eastAsia="BIZ UDPゴシック"/>
                <w:b w:val="0"/>
                <w:i w:val="0"/>
                <w:sz w:val="22"/>
              </w:rPr>
              <w:t>① 認定の運用の確認</w:t>
            </w:r>
          </w:p>
        </w:tc>
        <w:tc>
          <w:tcPr>
            <w:tcW w:type="dxa" w:w="4809"/>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サービス利用の必要が生じる前の申請がどの程度あるかを把握する。認定を受けること自体は制度上妨げられないが、認定率が県内2位である理由の説明につながる</w:t>
            </w:r>
          </w:p>
        </w:tc>
        <w:tc>
          <w:tcPr>
            <w:tcW w:type="dxa" w:w="2550"/>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7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09"/>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50"/>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7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09"/>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50"/>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未利用理由の上位3つが需要側のもので、供給側の理由を挙げた方が各1人にとどまる調査結果と整合します。一方、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本町には訪問型サービスB・通所型サービスB（住民主体によるサービス）の担い手が各1団体あることから、これを広げることが現実的な方策となります（第2章7、第4章 基本目標1）。</w:t>
      </w:r>
      <w:r>
        <w:rPr>
          <w:rFonts w:ascii="BIZ UDPゴシック" w:hAnsi="BIZ UDPゴシック" w:eastAsia="BIZ UDPゴシック"/>
          <w:b/>
          <w:i w:val="0"/>
          <w:sz w:val="24"/>
        </w:rPr>
        <w:t>現在の実施状況は【町データ待ち】</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