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素案（第13版）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老人福祉事業の量の目標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12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2">
        <w:r>
          <w:rPr>
            <w:rFonts w:ascii="游ゴシック" w:hAnsi="游ゴシック" w:eastAsia="游ゴシック"/>
            <w:sz w:val="20"/>
          </w:rPr>
          <w:t xml:space="preserve">12　地域分析の指標（国の基本指針の案の別表1）</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3">
        <w:r>
          <w:rPr>
            <w:rFonts w:ascii="游ゴシック" w:hAnsi="游ゴシック" w:eastAsia="游ゴシック"/>
            <w:sz w:val="20"/>
          </w:rPr>
          <w:t xml:space="preserve">13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4">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8020"/>
      </w:tblGrid>
      <w:tr>
        <w:tc>
          <w:tcPr>
            <w:tcW w:type="dxa" w:w="17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2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32"/>
            <w:vAlign w:val="center"/>
          </w:tcPr>
          <w:p>
            <w:pPr>
              <w:spacing w:before="20" w:after="20"/>
            </w:pPr>
            <w:r>
              <w:rPr>
                <w:rFonts w:ascii="游ゴシック" w:hAnsi="游ゴシック" w:eastAsia="游ゴシック"/>
                <w:b w:val="0"/>
                <w:i w:val="0"/>
                <w:sz w:val="17"/>
              </w:rPr>
              <w:t>計画期間</w:t>
            </w:r>
          </w:p>
        </w:tc>
        <w:tc>
          <w:tcPr>
            <w:tcW w:type="dxa" w:w="8020"/>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32"/>
            <w:vAlign w:val="center"/>
          </w:tcPr>
          <w:p>
            <w:pPr>
              <w:spacing w:before="20" w:after="20"/>
            </w:pPr>
            <w:r>
              <w:rPr>
                <w:rFonts w:ascii="游ゴシック" w:hAnsi="游ゴシック" w:eastAsia="游ゴシック"/>
                <w:b w:val="0"/>
                <w:i w:val="0"/>
                <w:sz w:val="17"/>
              </w:rPr>
              <w:t>位置づけ</w:t>
            </w:r>
          </w:p>
        </w:tc>
        <w:tc>
          <w:tcPr>
            <w:tcW w:type="dxa" w:w="8020"/>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32"/>
            <w:vAlign w:val="center"/>
          </w:tcPr>
          <w:p>
            <w:pPr>
              <w:spacing w:before="20" w:after="20"/>
            </w:pPr>
            <w:r>
              <w:rPr>
                <w:rFonts w:ascii="游ゴシック" w:hAnsi="游ゴシック" w:eastAsia="游ゴシック"/>
                <w:b w:val="0"/>
                <w:i w:val="0"/>
                <w:sz w:val="17"/>
              </w:rPr>
              <w:t>第1版からの変更</w:t>
            </w:r>
          </w:p>
        </w:tc>
        <w:tc>
          <w:tcPr>
            <w:tcW w:type="dxa" w:w="8020"/>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32"/>
            <w:vAlign w:val="center"/>
          </w:tcPr>
          <w:p>
            <w:pPr>
              <w:spacing w:before="20" w:after="20"/>
            </w:pPr>
            <w:r>
              <w:rPr>
                <w:rFonts w:ascii="游ゴシック" w:hAnsi="游ゴシック" w:eastAsia="游ゴシック"/>
                <w:b w:val="0"/>
                <w:i w:val="0"/>
                <w:sz w:val="17"/>
              </w:rPr>
              <w:t>第7版（令和8年9月29日）の変更</w:t>
            </w:r>
          </w:p>
        </w:tc>
        <w:tc>
          <w:tcPr>
            <w:tcW w:type="dxa" w:w="8020"/>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732"/>
            <w:vAlign w:val="center"/>
          </w:tcPr>
          <w:p>
            <w:pPr>
              <w:spacing w:before="20" w:after="20"/>
            </w:pPr>
            <w:r>
              <w:rPr>
                <w:rFonts w:ascii="游ゴシック" w:hAnsi="游ゴシック" w:eastAsia="游ゴシック"/>
                <w:b w:val="0"/>
                <w:i w:val="0"/>
                <w:sz w:val="17"/>
              </w:rPr>
              <w:t>第8版（令和8年10月4日）の変更</w:t>
            </w:r>
          </w:p>
        </w:tc>
        <w:tc>
          <w:tcPr>
            <w:tcW w:type="dxa" w:w="8020"/>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①第6章11「中長期の見通し（令和22年・令和32年）」を新設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32"/>
            <w:vAlign w:val="center"/>
          </w:tcPr>
          <w:p>
            <w:pPr>
              <w:spacing w:before="20" w:after="20"/>
            </w:pPr>
            <w:r>
              <w:rPr>
                <w:rFonts w:ascii="游ゴシック" w:hAnsi="游ゴシック" w:eastAsia="游ゴシック"/>
                <w:b w:val="0"/>
                <w:i w:val="0"/>
                <w:sz w:val="17"/>
              </w:rPr>
              <w:t>第9版（令和8年10月5日）の変更</w:t>
            </w:r>
          </w:p>
        </w:tc>
        <w:tc>
          <w:tcPr>
            <w:tcW w:type="dxa" w:w="8020"/>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32"/>
            <w:vAlign w:val="center"/>
          </w:tcPr>
          <w:p>
            <w:pPr>
              <w:spacing w:before="20" w:after="20"/>
            </w:pPr>
            <w:r>
              <w:rPr>
                <w:rFonts w:ascii="游ゴシック" w:hAnsi="游ゴシック" w:eastAsia="游ゴシック"/>
                <w:b/>
                <w:i w:val="0"/>
                <w:sz w:val="17"/>
              </w:rPr>
              <w:t>第10版（令和8年10月14日）の変更</w:t>
            </w:r>
          </w:p>
        </w:tc>
        <w:tc>
          <w:tcPr>
            <w:tcW w:type="dxa" w:w="8020"/>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①第6章12「将来に向けたサービス提供体制の確保に関する施策」を新設</w:t>
            </w:r>
            <w:r>
              <w:rPr>
                <w:rFonts w:ascii="游ゴシック" w:hAnsi="游ゴシック" w:eastAsia="游ゴシック"/>
                <w:b w:val="0"/>
                <w:i w:val="0"/>
                <w:sz w:val="17"/>
              </w:rPr>
              <w:t>（第6章11の中長期の推計と対になる記載事項）。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32"/>
            <w:vAlign w:val="center"/>
          </w:tcPr>
          <w:p>
            <w:pPr>
              <w:spacing w:before="20" w:after="20"/>
            </w:pPr>
            <w:r>
              <w:rPr>
                <w:rFonts w:ascii="游ゴシック" w:hAnsi="游ゴシック" w:eastAsia="游ゴシック"/>
                <w:b/>
                <w:i w:val="0"/>
                <w:sz w:val="17"/>
              </w:rPr>
              <w:t>第11版（令和8年10月15日）の変更</w:t>
            </w:r>
          </w:p>
        </w:tc>
        <w:tc>
          <w:tcPr>
            <w:tcW w:type="dxa" w:w="8020"/>
            <w:vAlign w:val="center"/>
          </w:tcPr>
          <w:p>
            <w:pPr>
              <w:spacing w:before="20" w:after="20"/>
            </w:pPr>
            <w:r>
              <w:rPr>
                <w:rFonts w:ascii="游ゴシック" w:hAnsi="游ゴシック" w:eastAsia="游ゴシック"/>
                <w:b/>
                <w:i w:val="0"/>
                <w:sz w:val="17"/>
              </w:rPr>
              <w:t>新旧対照条文（厚生労働省・全353頁）を入手し、第10版の記載を条文で確かめて改めた。</w:t>
            </w:r>
            <w:r>
              <w:rPr>
                <w:rFonts w:ascii="游ゴシック" w:hAnsi="游ゴシック" w:eastAsia="游ゴシック"/>
                <w:b w:val="0"/>
                <w:i w:val="0"/>
                <w:sz w:val="17"/>
              </w:rPr>
              <w:t xml:space="preserve"> 第10版は概要（全17頁）によっており、条・項・号の別が読み取れていなかった。</w:t>
            </w:r>
            <w:r>
              <w:rPr>
                <w:rFonts w:ascii="游ゴシック" w:hAnsi="游ゴシック" w:eastAsia="游ゴシック"/>
                <w:b/>
                <w:i w:val="0"/>
                <w:sz w:val="17"/>
              </w:rPr>
              <w:t>①第6章11を介護保険法第117条第2項第3号に基づくものとして位置づけ、地域支援事業の量の中長期的な推計を加えた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②第6章12を同条第2項第4号に基づくものとして位置づけ、地域支援事業の実施の面を加えて6つとした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32"/>
            <w:vAlign w:val="center"/>
          </w:tcPr>
          <w:p>
            <w:pPr>
              <w:spacing w:before="20" w:after="20"/>
            </w:pPr>
            <w:r>
              <w:rPr>
                <w:rFonts w:ascii="游ゴシック" w:hAnsi="游ゴシック" w:eastAsia="游ゴシック"/>
                <w:b/>
                <w:i w:val="0"/>
                <w:sz w:val="17"/>
              </w:rPr>
              <w:t>第11版の追記（同日）</w:t>
            </w:r>
          </w:p>
        </w:tc>
        <w:tc>
          <w:tcPr>
            <w:tcW w:type="dxa" w:w="8020"/>
            <w:vAlign w:val="center"/>
          </w:tcPr>
          <w:p>
            <w:pPr>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32"/>
            <w:vAlign w:val="center"/>
          </w:tcPr>
          <w:p>
            <w:pPr>
              <w:spacing w:before="20" w:after="20"/>
            </w:pPr>
            <w:r>
              <w:rPr>
                <w:rFonts w:ascii="游ゴシック" w:hAnsi="游ゴシック" w:eastAsia="游ゴシック"/>
                <w:b/>
                <w:i w:val="0"/>
                <w:sz w:val="17"/>
              </w:rPr>
              <w:t>第12版（令和8年10月20日）の変更</w:t>
            </w:r>
          </w:p>
        </w:tc>
        <w:tc>
          <w:tcPr>
            <w:tcW w:type="dxa" w:w="8020"/>
            <w:vAlign w:val="center"/>
          </w:tcPr>
          <w:p>
            <w:pPr>
              <w:spacing w:before="20" w:after="20"/>
            </w:pPr>
            <w:r>
              <w:rPr>
                <w:rFonts w:ascii="游ゴシック" w:hAnsi="游ゴシック" w:eastAsia="游ゴシック"/>
                <w:b/>
                <w:i w:val="0"/>
                <w:sz w:val="17"/>
              </w:rPr>
              <w:t>策定チェックリスト（手引き目次対応・176項目）で第11版を確かめ、素案の修正が要るとした17件を反映した。</w:t>
            </w:r>
            <w:r>
              <w:rPr>
                <w:rFonts w:ascii="游ゴシック" w:hAnsi="游ゴシック" w:eastAsia="游ゴシック"/>
                <w:b w:val="0"/>
                <w:i w:val="0"/>
                <w:sz w:val="17"/>
              </w:rPr>
              <w:t xml:space="preserve"> </w:t>
            </w:r>
            <w:r>
              <w:rPr>
                <w:rFonts w:ascii="游ゴシック" w:hAnsi="游ゴシック" w:eastAsia="游ゴシック"/>
                <w:b/>
                <w:i w:val="0"/>
                <w:sz w:val="17"/>
              </w:rPr>
              <w:t>①第4章1に「本町の地域包括ケアの姿」を定め、第6章11・12から参照した。</w:t>
            </w:r>
            <w:r>
              <w:rPr>
                <w:rFonts w:ascii="游ゴシック" w:hAnsi="游ゴシック" w:eastAsia="游ゴシック"/>
                <w:b w:val="0"/>
                <w:i w:val="0"/>
                <w:sz w:val="17"/>
              </w:rPr>
              <w:t>②第4章3に、保健・認知症の分野の関連計画との役割分担の表を加えた。③第1章7に庁内の検討体制を加え、住宅担当の関与を書いた。</w:t>
            </w:r>
            <w:r>
              <w:rPr>
                <w:rFonts w:ascii="游ゴシック" w:hAnsi="游ゴシック" w:eastAsia="游ゴシック"/>
                <w:b/>
                <w:i w:val="0"/>
                <w:sz w:val="17"/>
              </w:rPr>
              <w:t>④資料編8に成果指標の種類（アウトプット／アウトカム）の一覧を加え、第5章 基本目標2⑥に介護職員の定着の指標を加えた。</w:t>
            </w:r>
            <w:r>
              <w:rPr>
                <w:rFonts w:ascii="游ゴシック" w:hAnsi="游ゴシック" w:eastAsia="游ゴシック"/>
                <w:b w:val="0"/>
                <w:i w:val="0"/>
                <w:sz w:val="17"/>
              </w:rPr>
              <w:t>⑤第1章3に新たな地域医療構想を、第5章に総合事業のガイドライン・ケアプランデータ連携・地域医療介護総合確保基金・重層的支援体制整備事業の確認事項を加えた。</w:t>
            </w:r>
            <w:r>
              <w:rPr>
                <w:rFonts w:ascii="游ゴシック" w:hAnsi="游ゴシック" w:eastAsia="游ゴシック"/>
                <w:b/>
                <w:i w:val="0"/>
                <w:sz w:val="17"/>
              </w:rPr>
              <w:t>町・県の資料を受けて埋めるものは、未確定の印を付けて置いている</w:t>
            </w:r>
          </w:p>
        </w:tc>
      </w:tr>
      <w:tr>
        <w:tc>
          <w:tcPr>
            <w:tcW w:type="dxa" w:w="1732"/>
            <w:vAlign w:val="center"/>
          </w:tcPr>
          <w:p>
            <w:pPr>
              <w:spacing w:before="20" w:after="20"/>
            </w:pPr>
            <w:r>
              <w:rPr>
                <w:rFonts w:ascii="游ゴシック" w:hAnsi="游ゴシック" w:eastAsia="游ゴシック"/>
                <w:b/>
                <w:i w:val="0"/>
                <w:sz w:val="17"/>
              </w:rPr>
              <w:t>本版（第13版・令和8年10月20日）の変更</w:t>
            </w:r>
          </w:p>
        </w:tc>
        <w:tc>
          <w:tcPr>
            <w:tcW w:type="dxa" w:w="8020"/>
            <w:vAlign w:val="center"/>
          </w:tcPr>
          <w:p>
            <w:pPr>
              <w:spacing w:before="20" w:after="20"/>
            </w:pPr>
            <w:r>
              <w:rPr>
                <w:rFonts w:ascii="游ゴシック" w:hAnsi="游ゴシック" w:eastAsia="游ゴシック"/>
                <w:b/>
                <w:i w:val="0"/>
                <w:sz w:val="17"/>
              </w:rPr>
              <w:t>国資料（令和8年3月・7月の全国課長会議資料、地域分析の手引き改訂版）と介護保険部会の資料に照らし、誤り2件を改め、5件を書き足した。</w:t>
            </w:r>
            <w:r>
              <w:rPr>
                <w:rFonts w:ascii="游ゴシック" w:hAnsi="游ゴシック" w:eastAsia="游ゴシック"/>
                <w:b w:val="0"/>
                <w:i w:val="0"/>
                <w:sz w:val="17"/>
              </w:rPr>
              <w:t xml:space="preserve"> </w:t>
            </w:r>
            <w:r>
              <w:rPr>
                <w:rFonts w:ascii="游ゴシック" w:hAnsi="游ゴシック" w:eastAsia="游ゴシック"/>
                <w:b/>
                <w:i w:val="0"/>
                <w:sz w:val="17"/>
              </w:rPr>
              <w:t>誤り：①所得段階の年金収入等の基準額を80万円から82.65万円に改めた</w:t>
            </w:r>
            <w:r>
              <w:rPr>
                <w:rFonts w:ascii="游ゴシック" w:hAnsi="游ゴシック" w:eastAsia="游ゴシック"/>
                <w:b w:val="0"/>
                <w:i w:val="0"/>
                <w:sz w:val="17"/>
              </w:rPr>
              <w:t>（介護保険法施行令第38条。令和8年政令第274号による改正後）。</w:t>
            </w:r>
            <w:r>
              <w:rPr>
                <w:rFonts w:ascii="游ゴシック" w:hAnsi="游ゴシック" w:eastAsia="游ゴシック"/>
                <w:b/>
                <w:i w:val="0"/>
                <w:sz w:val="17"/>
              </w:rPr>
              <w:t>②基本指針の告示時期を、国のスケジュールどおり令和8年11月頃に改めた。</w:t>
            </w:r>
            <w:r>
              <w:rPr>
                <w:rFonts w:ascii="游ゴシック" w:hAnsi="游ゴシック" w:eastAsia="游ゴシック"/>
                <w:b w:val="0"/>
                <w:i w:val="0"/>
                <w:sz w:val="17"/>
              </w:rPr>
              <w:t xml:space="preserve"> 書き足し：③介護保険の特定地域について、本町は振興山村の一部指定として国の一覧に載っていること（第1章2・第6章12）、④地域の類型（中山間・人口減少地域）（第1章4）、⑤基本指針案の別表1の指標と本計画の対応（資料編12）、⑥介護予防支援拠点事業（第5章 基本目標1②）、⑦頼れる身寄りがいない高齢者等の相談（第5章 基本目標2②）</w:t>
            </w:r>
          </w:p>
        </w:tc>
      </w:tr>
      <w:tr>
        <w:tc>
          <w:tcPr>
            <w:tcW w:type="dxa" w:w="1732"/>
            <w:vAlign w:val="center"/>
          </w:tcPr>
          <w:p>
            <w:pPr>
              <w:spacing w:before="20" w:after="20"/>
            </w:pPr>
            <w:r>
              <w:rPr>
                <w:rFonts w:ascii="游ゴシック" w:hAnsi="游ゴシック" w:eastAsia="游ゴシック"/>
                <w:b w:val="0"/>
                <w:i w:val="0"/>
                <w:sz w:val="17"/>
              </w:rPr>
              <w:t>確定していない事項の表示</w:t>
            </w:r>
          </w:p>
        </w:tc>
        <w:tc>
          <w:tcPr>
            <w:tcW w:type="dxa" w:w="8020"/>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本素案には確定していない箇所が187あります。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-29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町からのデータ受領を待っているのは101箇所（54.0％）で、最も多いのは協議会で設定する成果指標の目標値56箇所（29.9％）です。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9"/>
        <w:gridCol w:w="2224"/>
        <w:gridCol w:w="1222"/>
        <w:gridCol w:w="1311"/>
        <w:gridCol w:w="3496"/>
      </w:tblGrid>
      <w:tr>
        <w:tc>
          <w:tcPr>
            <w:tcW w:type="dxa" w:w="1499"/>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24"/>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22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1"/>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496"/>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499"/>
            <w:vAlign w:val="center"/>
          </w:tcPr>
          <w:p>
            <w:pPr>
              <w:spacing w:before="20" w:after="20"/>
            </w:pPr>
            <w:r>
              <w:rPr>
                <w:rFonts w:ascii="游ゴシック" w:hAnsi="游ゴシック" w:eastAsia="游ゴシック"/>
                <w:b w:val="0"/>
                <w:i w:val="0"/>
                <w:sz w:val="17"/>
              </w:rPr>
              <w:t>【協議会で設定】</w:t>
            </w:r>
          </w:p>
        </w:tc>
        <w:tc>
          <w:tcPr>
            <w:tcW w:type="dxa" w:w="2224"/>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222"/>
            <w:vAlign w:val="center"/>
          </w:tcPr>
          <w:p>
            <w:pPr>
              <w:spacing w:before="20" w:after="20"/>
            </w:pPr>
            <w:r>
              <w:rPr>
                <w:rFonts w:ascii="游ゴシック" w:hAnsi="游ゴシック" w:eastAsia="游ゴシック"/>
                <w:b w:val="0"/>
                <w:i w:val="0"/>
                <w:sz w:val="17"/>
              </w:rPr>
              <w:t>56</w:t>
            </w:r>
          </w:p>
        </w:tc>
        <w:tc>
          <w:tcPr>
            <w:tcW w:type="dxa" w:w="1311"/>
            <w:vAlign w:val="center"/>
          </w:tcPr>
          <w:p>
            <w:pPr>
              <w:spacing w:before="20" w:after="20"/>
            </w:pPr>
            <w:r>
              <w:rPr>
                <w:rFonts w:ascii="游ゴシック" w:hAnsi="游ゴシック" w:eastAsia="游ゴシック"/>
                <w:b w:val="0"/>
                <w:i w:val="0"/>
                <w:sz w:val="17"/>
              </w:rPr>
              <w:t>29.9％</w:t>
            </w:r>
          </w:p>
        </w:tc>
        <w:tc>
          <w:tcPr>
            <w:tcW w:type="dxa" w:w="3496"/>
            <w:vAlign w:val="center"/>
          </w:tcPr>
          <w:p>
            <w:pPr>
              <w:spacing w:before="20" w:after="20"/>
            </w:pPr>
            <w:r>
              <w:rPr>
                <w:rFonts w:ascii="游ゴシック" w:hAnsi="游ゴシック" w:eastAsia="游ゴシック"/>
                <w:b/>
                <w:i w:val="0"/>
                <w:sz w:val="17"/>
              </w:rPr>
              <w:t>協議会での議論により設定する</w:t>
            </w:r>
          </w:p>
        </w:tc>
      </w:tr>
      <w:tr>
        <w:tc>
          <w:tcPr>
            <w:tcW w:type="dxa" w:w="1499"/>
            <w:vAlign w:val="center"/>
          </w:tcPr>
          <w:p>
            <w:pPr>
              <w:spacing w:before="20" w:after="20"/>
            </w:pPr>
            <w:r>
              <w:rPr>
                <w:rFonts w:ascii="游ゴシック" w:hAnsi="游ゴシック" w:eastAsia="游ゴシック"/>
                <w:b/>
                <w:i w:val="0"/>
                <w:sz w:val="17"/>
              </w:rPr>
              <w:t>【町データ待ち】</w:t>
            </w:r>
          </w:p>
        </w:tc>
        <w:tc>
          <w:tcPr>
            <w:tcW w:type="dxa" w:w="2224"/>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222"/>
            <w:vAlign w:val="center"/>
          </w:tcPr>
          <w:p>
            <w:pPr>
              <w:spacing w:before="20" w:after="20"/>
            </w:pPr>
            <w:r>
              <w:rPr>
                <w:rFonts w:ascii="游ゴシック" w:hAnsi="游ゴシック" w:eastAsia="游ゴシック"/>
                <w:b/>
                <w:i w:val="0"/>
                <w:sz w:val="17"/>
              </w:rPr>
              <w:t>101</w:t>
            </w:r>
          </w:p>
        </w:tc>
        <w:tc>
          <w:tcPr>
            <w:tcW w:type="dxa" w:w="1311"/>
            <w:vAlign w:val="center"/>
          </w:tcPr>
          <w:p>
            <w:pPr>
              <w:spacing w:before="20" w:after="20"/>
            </w:pPr>
            <w:r>
              <w:rPr>
                <w:rFonts w:ascii="游ゴシック" w:hAnsi="游ゴシック" w:eastAsia="游ゴシック"/>
                <w:b/>
                <w:i w:val="0"/>
                <w:sz w:val="17"/>
              </w:rPr>
              <w:t>54.0％</w:t>
            </w:r>
          </w:p>
        </w:tc>
        <w:tc>
          <w:tcPr>
            <w:tcW w:type="dxa" w:w="3496"/>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9"/>
            <w:vAlign w:val="center"/>
          </w:tcPr>
          <w:p>
            <w:pPr>
              <w:spacing w:before="20" w:after="20"/>
            </w:pPr>
            <w:r>
              <w:rPr>
                <w:rFonts w:ascii="游ゴシック" w:hAnsi="游ゴシック" w:eastAsia="游ゴシック"/>
                <w:b/>
                <w:i w:val="0"/>
                <w:sz w:val="17"/>
              </w:rPr>
              <w:t>【算定後に記載】</w:t>
            </w:r>
          </w:p>
        </w:tc>
        <w:tc>
          <w:tcPr>
            <w:tcW w:type="dxa" w:w="2224"/>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222"/>
            <w:vAlign w:val="center"/>
          </w:tcPr>
          <w:p>
            <w:pPr>
              <w:spacing w:before="20" w:after="20"/>
            </w:pPr>
            <w:r>
              <w:rPr>
                <w:rFonts w:ascii="游ゴシック" w:hAnsi="游ゴシック" w:eastAsia="游ゴシック"/>
                <w:b w:val="0"/>
                <w:i w:val="0"/>
                <w:sz w:val="17"/>
              </w:rPr>
              <w:t>0</w:t>
            </w:r>
          </w:p>
        </w:tc>
        <w:tc>
          <w:tcPr>
            <w:tcW w:type="dxa" w:w="1311"/>
            <w:vAlign w:val="center"/>
          </w:tcPr>
          <w:p>
            <w:pPr>
              <w:spacing w:before="20" w:after="20"/>
            </w:pPr>
            <w:r>
              <w:rPr>
                <w:rFonts w:ascii="游ゴシック" w:hAnsi="游ゴシック" w:eastAsia="游ゴシック"/>
                <w:b w:val="0"/>
                <w:i w:val="0"/>
                <w:sz w:val="17"/>
              </w:rPr>
              <w:t>0.0％</w:t>
            </w:r>
          </w:p>
        </w:tc>
        <w:tc>
          <w:tcPr>
            <w:tcW w:type="dxa" w:w="3496"/>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499"/>
            <w:vAlign w:val="center"/>
          </w:tcPr>
          <w:p>
            <w:pPr>
              <w:keepNext/>
              <w:spacing w:before="20" w:after="20"/>
            </w:pPr>
            <w:r>
              <w:rPr>
                <w:rFonts w:ascii="游ゴシック" w:hAnsi="游ゴシック" w:eastAsia="游ゴシック"/>
                <w:b w:val="0"/>
                <w:i w:val="0"/>
                <w:sz w:val="17"/>
              </w:rPr>
              <w:t>【決定後に記載】</w:t>
            </w:r>
          </w:p>
        </w:tc>
        <w:tc>
          <w:tcPr>
            <w:tcW w:type="dxa" w:w="2224"/>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222"/>
            <w:vAlign w:val="center"/>
          </w:tcPr>
          <w:p>
            <w:pPr>
              <w:keepNext/>
              <w:spacing w:before="20" w:after="20"/>
            </w:pPr>
            <w:r>
              <w:rPr>
                <w:rFonts w:ascii="游ゴシック" w:hAnsi="游ゴシック" w:eastAsia="游ゴシック"/>
                <w:b w:val="0"/>
                <w:i w:val="0"/>
                <w:sz w:val="17"/>
              </w:rPr>
              <w:t>21</w:t>
            </w:r>
          </w:p>
        </w:tc>
        <w:tc>
          <w:tcPr>
            <w:tcW w:type="dxa" w:w="1311"/>
            <w:vAlign w:val="center"/>
          </w:tcPr>
          <w:p>
            <w:pPr>
              <w:keepNext/>
              <w:spacing w:before="20" w:after="20"/>
            </w:pPr>
            <w:r>
              <w:rPr>
                <w:rFonts w:ascii="游ゴシック" w:hAnsi="游ゴシック" w:eastAsia="游ゴシック"/>
                <w:b w:val="0"/>
                <w:i w:val="0"/>
                <w:sz w:val="17"/>
              </w:rPr>
              <w:t>11.2％</w:t>
            </w:r>
          </w:p>
        </w:tc>
        <w:tc>
          <w:tcPr>
            <w:tcW w:type="dxa" w:w="3496"/>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499"/>
            <w:vAlign w:val="center"/>
          </w:tcPr>
          <w:p>
            <w:pPr>
              <w:spacing w:before="20" w:after="20"/>
            </w:pPr>
            <w:r>
              <w:rPr>
                <w:rFonts w:ascii="游ゴシック" w:hAnsi="游ゴシック" w:eastAsia="游ゴシック"/>
                <w:b w:val="0"/>
                <w:i w:val="0"/>
                <w:sz w:val="17"/>
              </w:rPr>
              <w:t>【見える化出力待ち】</w:t>
            </w:r>
          </w:p>
        </w:tc>
        <w:tc>
          <w:tcPr>
            <w:tcW w:type="dxa" w:w="2224"/>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222"/>
            <w:vAlign w:val="center"/>
          </w:tcPr>
          <w:p>
            <w:pPr>
              <w:spacing w:before="20" w:after="20"/>
            </w:pPr>
            <w:r>
              <w:rPr>
                <w:rFonts w:ascii="游ゴシック" w:hAnsi="游ゴシック" w:eastAsia="游ゴシック"/>
                <w:b w:val="0"/>
                <w:i w:val="0"/>
                <w:sz w:val="17"/>
              </w:rPr>
              <w:t>9</w:t>
            </w:r>
          </w:p>
        </w:tc>
        <w:tc>
          <w:tcPr>
            <w:tcW w:type="dxa" w:w="1311"/>
            <w:vAlign w:val="center"/>
          </w:tcPr>
          <w:p>
            <w:pPr>
              <w:spacing w:before="20" w:after="20"/>
            </w:pPr>
            <w:r>
              <w:rPr>
                <w:rFonts w:ascii="游ゴシック" w:hAnsi="游ゴシック" w:eastAsia="游ゴシック"/>
                <w:b w:val="0"/>
                <w:i w:val="0"/>
                <w:sz w:val="17"/>
              </w:rPr>
              <w:t>4.8％</w:t>
            </w:r>
          </w:p>
        </w:tc>
        <w:tc>
          <w:tcPr>
            <w:tcW w:type="dxa" w:w="3496"/>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6"/>
        <w:gridCol w:w="7476"/>
      </w:tblGrid>
      <w:tr>
        <w:tc>
          <w:tcPr>
            <w:tcW w:type="dxa" w:w="2276"/>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7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76"/>
            <w:vAlign w:val="center"/>
          </w:tcPr>
          <w:p>
            <w:pPr>
              <w:spacing w:before="20" w:after="20"/>
            </w:pPr>
            <w:r>
              <w:rPr>
                <w:rFonts w:ascii="游ゴシック" w:hAnsi="游ゴシック" w:eastAsia="游ゴシック"/>
                <w:b w:val="0"/>
                <w:i w:val="0"/>
                <w:sz w:val="17"/>
              </w:rPr>
              <w:t>第1章　計画策定にあたって</w:t>
            </w:r>
          </w:p>
        </w:tc>
        <w:tc>
          <w:tcPr>
            <w:tcW w:type="dxa" w:w="747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276"/>
            <w:vAlign w:val="center"/>
          </w:tcPr>
          <w:p>
            <w:pPr>
              <w:spacing w:before="20" w:after="20"/>
            </w:pPr>
            <w:r>
              <w:rPr>
                <w:rFonts w:ascii="游ゴシック" w:hAnsi="游ゴシック" w:eastAsia="游ゴシック"/>
                <w:b w:val="0"/>
                <w:i w:val="0"/>
                <w:sz w:val="17"/>
              </w:rPr>
              <w:t>第2章　小野町の高齢者・介護等の状況</w:t>
            </w:r>
          </w:p>
        </w:tc>
        <w:tc>
          <w:tcPr>
            <w:tcW w:type="dxa" w:w="747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76"/>
            <w:vAlign w:val="center"/>
          </w:tcPr>
          <w:p>
            <w:pPr>
              <w:spacing w:before="20" w:after="20"/>
            </w:pPr>
            <w:r>
              <w:rPr>
                <w:rFonts w:ascii="游ゴシック" w:hAnsi="游ゴシック" w:eastAsia="游ゴシック"/>
                <w:b/>
                <w:i w:val="0"/>
                <w:sz w:val="17"/>
              </w:rPr>
              <w:t>第3章　第9期計画の実施状況と評価</w:t>
            </w:r>
          </w:p>
        </w:tc>
        <w:tc>
          <w:tcPr>
            <w:tcW w:type="dxa" w:w="747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276"/>
            <w:vAlign w:val="center"/>
          </w:tcPr>
          <w:p>
            <w:pPr>
              <w:spacing w:before="20" w:after="20"/>
            </w:pPr>
            <w:r>
              <w:rPr>
                <w:rFonts w:ascii="游ゴシック" w:hAnsi="游ゴシック" w:eastAsia="游ゴシック"/>
                <w:b w:val="0"/>
                <w:i w:val="0"/>
                <w:sz w:val="17"/>
              </w:rPr>
              <w:t>第4章　計画の基本的考え方</w:t>
            </w:r>
          </w:p>
        </w:tc>
        <w:tc>
          <w:tcPr>
            <w:tcW w:type="dxa" w:w="747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276"/>
            <w:vAlign w:val="center"/>
          </w:tcPr>
          <w:p>
            <w:pPr>
              <w:spacing w:before="20" w:after="20"/>
            </w:pPr>
            <w:r>
              <w:rPr>
                <w:rFonts w:ascii="游ゴシック" w:hAnsi="游ゴシック" w:eastAsia="游ゴシック"/>
                <w:b w:val="0"/>
                <w:i w:val="0"/>
                <w:sz w:val="17"/>
              </w:rPr>
              <w:t>第5章　施策の展開</w:t>
            </w:r>
          </w:p>
        </w:tc>
        <w:tc>
          <w:tcPr>
            <w:tcW w:type="dxa" w:w="747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76"/>
            <w:vAlign w:val="center"/>
          </w:tcPr>
          <w:p>
            <w:pPr>
              <w:keepNext/>
              <w:spacing w:before="20" w:after="20"/>
            </w:pPr>
            <w:r>
              <w:rPr>
                <w:rFonts w:ascii="游ゴシック" w:hAnsi="游ゴシック" w:eastAsia="游ゴシック"/>
                <w:b/>
                <w:i w:val="0"/>
                <w:sz w:val="17"/>
              </w:rPr>
              <w:t>第6章　介護保険事業等の見込み</w:t>
            </w:r>
          </w:p>
        </w:tc>
        <w:tc>
          <w:tcPr>
            <w:tcW w:type="dxa" w:w="747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w:t>
            </w:r>
            <w:r>
              <w:rPr>
                <w:rFonts w:ascii="游ゴシック" w:hAnsi="游ゴシック" w:eastAsia="游ゴシック"/>
                <w:b w:val="0"/>
                <w:i w:val="0"/>
                <w:sz w:val="17"/>
              </w:rPr>
              <w:t>9 老人福祉事業の量の目標</w:t>
            </w:r>
            <w:r>
              <w:rPr>
                <w:rFonts w:ascii="游ゴシック" w:hAnsi="游ゴシック" w:eastAsia="游ゴシック"/>
                <w:b/>
                <w:i w:val="0"/>
                <w:sz w:val="17"/>
              </w:rPr>
              <w:t>／10 低所得者支援／11 中長期の見通し／12 将来に向けたサービス提供体制の確保に関する施策</w:t>
            </w:r>
          </w:p>
        </w:tc>
      </w:tr>
      <w:tr>
        <w:tc>
          <w:tcPr>
            <w:tcW w:type="dxa" w:w="2276"/>
            <w:vAlign w:val="center"/>
          </w:tcPr>
          <w:p>
            <w:pPr>
              <w:spacing w:before="20" w:after="20"/>
            </w:pPr>
            <w:r>
              <w:rPr>
                <w:rFonts w:ascii="游ゴシック" w:hAnsi="游ゴシック" w:eastAsia="游ゴシック"/>
                <w:b w:val="0"/>
                <w:i w:val="0"/>
                <w:sz w:val="17"/>
              </w:rPr>
              <w:t>資料編</w:t>
            </w:r>
          </w:p>
        </w:tc>
        <w:tc>
          <w:tcPr>
            <w:tcW w:type="dxa" w:w="747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9"/>
        <w:gridCol w:w="3612"/>
        <w:gridCol w:w="3900"/>
      </w:tblGrid>
      <w:tr>
        <w:tc>
          <w:tcPr>
            <w:tcW w:type="dxa" w:w="223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61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0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23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3612"/>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900"/>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239"/>
            <w:vAlign w:val="center"/>
          </w:tcPr>
          <w:p>
            <w:pPr>
              <w:spacing w:before="20" w:after="20"/>
            </w:pPr>
            <w:r>
              <w:rPr>
                <w:rFonts w:ascii="游ゴシック" w:hAnsi="游ゴシック" w:eastAsia="游ゴシック"/>
                <w:b w:val="0"/>
                <w:i w:val="0"/>
                <w:sz w:val="17"/>
              </w:rPr>
              <w:t>地域包括ケアシステムの深化・推進</w:t>
            </w:r>
          </w:p>
        </w:tc>
        <w:tc>
          <w:tcPr>
            <w:tcW w:type="dxa" w:w="3612"/>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900"/>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239"/>
            <w:vAlign w:val="center"/>
          </w:tcPr>
          <w:p>
            <w:pPr>
              <w:spacing w:before="20" w:after="20"/>
            </w:pPr>
            <w:r>
              <w:rPr>
                <w:rFonts w:ascii="游ゴシック" w:hAnsi="游ゴシック" w:eastAsia="游ゴシック"/>
                <w:b w:val="0"/>
                <w:i w:val="0"/>
                <w:sz w:val="17"/>
              </w:rPr>
              <w:t>介護人材の確保と生産性の向上</w:t>
            </w:r>
          </w:p>
        </w:tc>
        <w:tc>
          <w:tcPr>
            <w:tcW w:type="dxa" w:w="3612"/>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900"/>
            <w:vAlign w:val="center"/>
          </w:tcPr>
          <w:p>
            <w:pPr>
              <w:spacing w:before="20" w:after="20"/>
            </w:pPr>
            <w:r>
              <w:rPr>
                <w:rFonts w:ascii="游ゴシック" w:hAnsi="游ゴシック" w:eastAsia="游ゴシック"/>
                <w:b w:val="0"/>
                <w:i w:val="0"/>
                <w:sz w:val="17"/>
              </w:rPr>
              <w:t>第5章 基本目標2⑥</w:t>
            </w:r>
          </w:p>
        </w:tc>
      </w:tr>
      <w:tr>
        <w:tc>
          <w:tcPr>
            <w:tcW w:type="dxa" w:w="2239"/>
            <w:vAlign w:val="center"/>
          </w:tcPr>
          <w:p>
            <w:pPr>
              <w:keepNext/>
              <w:spacing w:before="20" w:after="20"/>
            </w:pPr>
            <w:r>
              <w:rPr>
                <w:rFonts w:ascii="游ゴシック" w:hAnsi="游ゴシック" w:eastAsia="游ゴシック"/>
                <w:b w:val="0"/>
                <w:i w:val="0"/>
                <w:sz w:val="17"/>
              </w:rPr>
              <w:t>給付と負担の見直し</w:t>
            </w:r>
          </w:p>
        </w:tc>
        <w:tc>
          <w:tcPr>
            <w:tcW w:type="dxa" w:w="3612"/>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900"/>
            <w:vAlign w:val="center"/>
          </w:tcPr>
          <w:p>
            <w:pPr>
              <w:keepNext/>
              <w:spacing w:before="20" w:after="20"/>
            </w:pPr>
            <w:r>
              <w:rPr>
                <w:rFonts w:ascii="游ゴシック" w:hAnsi="游ゴシック" w:eastAsia="游ゴシック"/>
                <w:b w:val="0"/>
                <w:i w:val="0"/>
                <w:sz w:val="17"/>
              </w:rPr>
              <w:t>第5章 基本目標3③</w:t>
            </w:r>
          </w:p>
        </w:tc>
      </w:tr>
      <w:tr>
        <w:tc>
          <w:tcPr>
            <w:tcW w:type="dxa" w:w="2239"/>
            <w:vAlign w:val="center"/>
          </w:tcPr>
          <w:p>
            <w:pPr>
              <w:spacing w:before="20" w:after="20"/>
            </w:pPr>
            <w:r>
              <w:rPr>
                <w:rFonts w:ascii="游ゴシック" w:hAnsi="游ゴシック" w:eastAsia="游ゴシック"/>
                <w:b w:val="0"/>
                <w:i w:val="0"/>
                <w:sz w:val="17"/>
              </w:rPr>
              <w:t>地域共生社会の実現</w:t>
            </w:r>
          </w:p>
        </w:tc>
        <w:tc>
          <w:tcPr>
            <w:tcW w:type="dxa" w:w="3612"/>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900"/>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本計画は介護保険制度に基づく具体化に集中する。本町での重層的支援体制整備事業の実施の有無は【町データ待ち】</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189"/>
        <w:gridCol w:w="4455"/>
      </w:tblGrid>
      <w:tr>
        <w:tc>
          <w:tcPr>
            <w:tcW w:type="dxa" w:w="2107"/>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1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45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107"/>
            <w:vAlign w:val="center"/>
          </w:tcPr>
          <w:p>
            <w:pPr>
              <w:spacing w:before="20" w:after="20"/>
            </w:pPr>
            <w:r>
              <w:rPr>
                <w:rFonts w:ascii="游ゴシック" w:hAnsi="游ゴシック" w:eastAsia="游ゴシック"/>
                <w:b/>
                <w:i w:val="0"/>
                <w:sz w:val="17"/>
              </w:rPr>
              <w:t>2040年等の中長期を見据えた見込量</w:t>
            </w:r>
          </w:p>
        </w:tc>
        <w:tc>
          <w:tcPr>
            <w:tcW w:type="dxa" w:w="3189"/>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4455"/>
            <w:vAlign w:val="center"/>
          </w:tcPr>
          <w:p>
            <w:pPr>
              <w:spacing w:before="20" w:after="20"/>
            </w:pPr>
            <w:r>
              <w:rPr>
                <w:rFonts w:ascii="游ゴシック" w:hAnsi="游ゴシック" w:eastAsia="游ゴシック"/>
                <w:b/>
                <w:i w:val="0"/>
                <w:sz w:val="17"/>
              </w:rPr>
              <w:t>第6章11に、令和22年・令和32年の認定者数・給付費・第1号被保険者1人当たりの負担の見通しを置いた</w:t>
            </w:r>
          </w:p>
        </w:tc>
      </w:tr>
      <w:tr>
        <w:tc>
          <w:tcPr>
            <w:tcW w:type="dxa" w:w="2107"/>
            <w:vAlign w:val="center"/>
          </w:tcPr>
          <w:p>
            <w:pPr>
              <w:spacing w:before="20" w:after="20"/>
            </w:pPr>
            <w:r>
              <w:rPr>
                <w:rFonts w:ascii="游ゴシック" w:hAnsi="游ゴシック" w:eastAsia="游ゴシック"/>
                <w:b/>
                <w:i w:val="0"/>
                <w:sz w:val="17"/>
              </w:rPr>
              <w:t>中山間・人口減少地域への対応</w:t>
            </w:r>
          </w:p>
        </w:tc>
        <w:tc>
          <w:tcPr>
            <w:tcW w:type="dxa" w:w="3189"/>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4455"/>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107"/>
            <w:vAlign w:val="center"/>
          </w:tcPr>
          <w:p>
            <w:pPr>
              <w:spacing w:before="20" w:after="20"/>
            </w:pPr>
            <w:r>
              <w:rPr>
                <w:rFonts w:ascii="游ゴシック" w:hAnsi="游ゴシック" w:eastAsia="游ゴシック"/>
                <w:b w:val="0"/>
                <w:i w:val="0"/>
                <w:sz w:val="17"/>
              </w:rPr>
              <w:t>医療・介護連携</w:t>
            </w:r>
          </w:p>
        </w:tc>
        <w:tc>
          <w:tcPr>
            <w:tcW w:type="dxa" w:w="3189"/>
            <w:vAlign w:val="center"/>
          </w:tcPr>
          <w:p>
            <w:pPr>
              <w:spacing w:before="20" w:after="20"/>
            </w:pPr>
            <w:r>
              <w:rPr>
                <w:rFonts w:ascii="游ゴシック" w:hAnsi="游ゴシック" w:eastAsia="游ゴシック"/>
                <w:b w:val="0"/>
                <w:i w:val="0"/>
                <w:sz w:val="17"/>
              </w:rPr>
              <w:t>在宅医療・介護連携推進事業の深化</w:t>
            </w:r>
          </w:p>
        </w:tc>
        <w:tc>
          <w:tcPr>
            <w:tcW w:type="dxa" w:w="4455"/>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107"/>
            <w:vAlign w:val="center"/>
          </w:tcPr>
          <w:p>
            <w:pPr>
              <w:keepNext/>
              <w:spacing w:before="20" w:after="20"/>
            </w:pPr>
            <w:r>
              <w:rPr>
                <w:rFonts w:ascii="游ゴシック" w:hAnsi="游ゴシック" w:eastAsia="游ゴシック"/>
                <w:b w:val="0"/>
                <w:i w:val="0"/>
                <w:sz w:val="17"/>
              </w:rPr>
              <w:t>高齢者向け住まい</w:t>
            </w:r>
          </w:p>
        </w:tc>
        <w:tc>
          <w:tcPr>
            <w:tcW w:type="dxa" w:w="3189"/>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4455"/>
            <w:vAlign w:val="center"/>
          </w:tcPr>
          <w:p>
            <w:pPr>
              <w:keepNext/>
              <w:spacing w:before="20" w:after="20"/>
            </w:pPr>
            <w:r>
              <w:rPr>
                <w:rFonts w:ascii="游ゴシック" w:hAnsi="游ゴシック" w:eastAsia="游ゴシック"/>
                <w:b w:val="0"/>
                <w:i w:val="0"/>
                <w:sz w:val="17"/>
              </w:rPr>
              <w:t>本町の該当施設は【町データ待ち】。第2章5で把握する。</w:t>
            </w:r>
            <w:r>
              <w:rPr>
                <w:rFonts w:ascii="游ゴシック" w:hAnsi="游ゴシック" w:eastAsia="游ゴシック"/>
                <w:b/>
                <w:i w:val="0"/>
                <w:sz w:val="17"/>
              </w:rPr>
              <w:t>福島県高齢者居住安定確保計画も、市町村に対し「各々の住まいの役割に応じた必要量の把握と供給量の調整」を求めている（第1章3）</w:t>
            </w:r>
          </w:p>
        </w:tc>
      </w:tr>
      <w:tr>
        <w:tc>
          <w:tcPr>
            <w:tcW w:type="dxa" w:w="2107"/>
            <w:vAlign w:val="center"/>
          </w:tcPr>
          <w:p>
            <w:pPr>
              <w:spacing w:before="20" w:after="20"/>
            </w:pPr>
            <w:r>
              <w:rPr>
                <w:rFonts w:ascii="游ゴシック" w:hAnsi="游ゴシック" w:eastAsia="游ゴシック"/>
                <w:b w:val="0"/>
                <w:i w:val="0"/>
                <w:sz w:val="17"/>
              </w:rPr>
              <w:t>人材確保・生産性向上・経営改善支援</w:t>
            </w:r>
          </w:p>
        </w:tc>
        <w:tc>
          <w:tcPr>
            <w:tcW w:type="dxa" w:w="3189"/>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4455"/>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0"/>
        <w:gridCol w:w="2975"/>
        <w:gridCol w:w="5026"/>
      </w:tblGrid>
      <w:tr>
        <w:tc>
          <w:tcPr>
            <w:tcW w:type="dxa" w:w="1750"/>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297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5026"/>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750"/>
            <w:vAlign w:val="center"/>
          </w:tcPr>
          <w:p>
            <w:pPr>
              <w:spacing w:before="20" w:after="20"/>
            </w:pPr>
            <w:r>
              <w:rPr>
                <w:rFonts w:ascii="游ゴシック" w:hAnsi="游ゴシック" w:eastAsia="游ゴシック"/>
                <w:b/>
                <w:i w:val="0"/>
                <w:sz w:val="17"/>
              </w:rPr>
              <w:t>第1号被保険者負担割合（政令）</w:t>
            </w:r>
          </w:p>
        </w:tc>
        <w:tc>
          <w:tcPr>
            <w:tcW w:type="dxa" w:w="2975"/>
            <w:vAlign w:val="center"/>
          </w:tcPr>
          <w:p>
            <w:pPr>
              <w:spacing w:before="20" w:after="20"/>
            </w:pPr>
            <w:r>
              <w:rPr>
                <w:rFonts w:ascii="游ゴシック" w:hAnsi="游ゴシック" w:eastAsia="游ゴシック"/>
                <w:b/>
                <w:i w:val="0"/>
                <w:sz w:val="17"/>
              </w:rPr>
              <w:t>保険料基準額。1ポイントで月額269円動く</w:t>
            </w:r>
          </w:p>
        </w:tc>
        <w:tc>
          <w:tcPr>
            <w:tcW w:type="dxa" w:w="5026"/>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750"/>
            <w:vAlign w:val="center"/>
          </w:tcPr>
          <w:p>
            <w:pPr>
              <w:spacing w:before="20" w:after="20"/>
            </w:pPr>
            <w:r>
              <w:rPr>
                <w:rFonts w:ascii="游ゴシック" w:hAnsi="游ゴシック" w:eastAsia="游ゴシック"/>
                <w:b/>
                <w:i w:val="0"/>
                <w:sz w:val="17"/>
              </w:rPr>
              <w:t>介護報酬の改定率</w:t>
            </w:r>
          </w:p>
        </w:tc>
        <w:tc>
          <w:tcPr>
            <w:tcW w:type="dxa" w:w="2975"/>
            <w:vAlign w:val="center"/>
          </w:tcPr>
          <w:p>
            <w:pPr>
              <w:spacing w:before="20" w:after="20"/>
            </w:pPr>
            <w:r>
              <w:rPr>
                <w:rFonts w:ascii="游ゴシック" w:hAnsi="游ゴシック" w:eastAsia="游ゴシック"/>
                <w:b/>
                <w:i w:val="0"/>
                <w:sz w:val="17"/>
              </w:rPr>
              <w:t>サービス単価、総給付費、保険料基準額</w:t>
            </w:r>
          </w:p>
        </w:tc>
        <w:tc>
          <w:tcPr>
            <w:tcW w:type="dxa" w:w="5026"/>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750"/>
            <w:vAlign w:val="center"/>
          </w:tcPr>
          <w:p>
            <w:pPr>
              <w:spacing w:before="20" w:after="20"/>
            </w:pPr>
            <w:r>
              <w:rPr>
                <w:rFonts w:ascii="游ゴシック" w:hAnsi="游ゴシック" w:eastAsia="游ゴシック"/>
                <w:b w:val="0"/>
                <w:i w:val="0"/>
                <w:sz w:val="17"/>
              </w:rPr>
              <w:t>給付と負担の見直し</w:t>
            </w:r>
          </w:p>
        </w:tc>
        <w:tc>
          <w:tcPr>
            <w:tcW w:type="dxa" w:w="297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5026"/>
            <w:vAlign w:val="center"/>
          </w:tcPr>
          <w:p>
            <w:pPr>
              <w:spacing w:before="20" w:after="20"/>
            </w:pPr>
            <w:r>
              <w:rPr>
                <w:rFonts w:ascii="游ゴシック" w:hAnsi="游ゴシック" w:eastAsia="游ゴシック"/>
                <w:b w:val="0"/>
                <w:i w:val="0"/>
                <w:sz w:val="17"/>
              </w:rPr>
              <w:t>【町データ待ち】</w:t>
            </w:r>
          </w:p>
        </w:tc>
      </w:tr>
      <w:tr>
        <w:tc>
          <w:tcPr>
            <w:tcW w:type="dxa" w:w="1750"/>
            <w:vAlign w:val="center"/>
          </w:tcPr>
          <w:p>
            <w:pPr>
              <w:spacing w:before="20" w:after="20"/>
            </w:pPr>
            <w:r>
              <w:rPr>
                <w:rFonts w:ascii="游ゴシック" w:hAnsi="游ゴシック" w:eastAsia="游ゴシック"/>
                <w:b w:val="0"/>
                <w:i w:val="0"/>
                <w:sz w:val="17"/>
              </w:rPr>
              <w:t>地域支援事業の見直し</w:t>
            </w:r>
          </w:p>
        </w:tc>
        <w:tc>
          <w:tcPr>
            <w:tcW w:type="dxa" w:w="297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5026"/>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750"/>
            <w:vAlign w:val="center"/>
          </w:tcPr>
          <w:p>
            <w:pPr>
              <w:spacing w:before="20" w:after="20"/>
            </w:pPr>
            <w:r>
              <w:rPr>
                <w:rFonts w:ascii="游ゴシック" w:hAnsi="游ゴシック" w:eastAsia="游ゴシック"/>
                <w:b/>
                <w:i w:val="0"/>
                <w:sz w:val="17"/>
              </w:rPr>
              <w:t>医療計画・医療介護総合確保の計画との整合</w:t>
            </w:r>
          </w:p>
        </w:tc>
        <w:tc>
          <w:tcPr>
            <w:tcW w:type="dxa" w:w="297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5026"/>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750"/>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297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①介護サービス量の中長期的な推計（第6章11）②将来に向けたサービス提供体制の確保に関する施策（第6章12）③医療と介護の連携の状況・有料老人ホーム等の入居定員の勘案（第2章5・第6章2）</w:t>
            </w:r>
          </w:p>
        </w:tc>
        <w:tc>
          <w:tcPr>
            <w:tcW w:type="dxa" w:w="5026"/>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750"/>
            <w:vAlign w:val="center"/>
          </w:tcPr>
          <w:p>
            <w:pPr>
              <w:spacing w:before="20" w:after="20"/>
            </w:pPr>
            <w:r>
              <w:rPr>
                <w:rFonts w:ascii="游ゴシック" w:hAnsi="游ゴシック" w:eastAsia="游ゴシック"/>
                <w:b w:val="0"/>
                <w:i w:val="0"/>
                <w:sz w:val="17"/>
              </w:rPr>
              <w:t>同（適用の可否を確かめるもの）</w:t>
            </w:r>
          </w:p>
        </w:tc>
        <w:tc>
          <w:tcPr>
            <w:tcW w:type="dxa" w:w="297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5026"/>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国の基準の素案では、特別地域加算等の対象地域（市町村の全部指定・一部指定とも）を基準に含めることとされている。</w:t>
            </w:r>
            <w:r>
              <w:rPr>
                <w:rFonts w:ascii="游ゴシック" w:hAnsi="游ゴシック" w:eastAsia="游ゴシック"/>
                <w:b/>
                <w:i w:val="0"/>
                <w:sz w:val="17"/>
              </w:rPr>
              <w:t>本町は、国の対象地域の一覧に「振興山村・一部指定」として載っている</w:t>
            </w:r>
            <w:r>
              <w:rPr>
                <w:rFonts w:ascii="游ゴシック" w:hAnsi="游ゴシック" w:eastAsia="游ゴシック"/>
                <w:b w:val="0"/>
                <w:i w:val="0"/>
                <w:sz w:val="17"/>
              </w:rPr>
              <w:t>（旧夏井村の区域。山村振興法第7条第1項）。</w:t>
            </w:r>
            <w:r>
              <w:rPr>
                <w:rFonts w:ascii="游ゴシック" w:hAnsi="游ゴシック" w:eastAsia="游ゴシック"/>
                <w:b/>
                <w:i w:val="0"/>
                <w:sz w:val="17"/>
              </w:rPr>
              <w:t>このため、旧夏井村の区域が対象となる見込みである。町全域ではない</w:t>
            </w:r>
            <w:r>
              <w:rPr>
                <w:rFonts w:ascii="游ゴシック" w:hAnsi="游ゴシック" w:eastAsia="游ゴシック"/>
                <w:b w:val="0"/>
                <w:i w:val="0"/>
                <w:sz w:val="17"/>
              </w:rPr>
              <w:t>（障がい福祉の特定地域は要件が異なり、過疎地域を含むため町全域が対象となる見込み。障がい福祉計画 第3部第3章）。基準は省令で定まり、指定は町の意向を踏まえて県が行う（【決定後に記載】）</w:t>
            </w:r>
          </w:p>
        </w:tc>
      </w:tr>
      <w:tr>
        <w:tc>
          <w:tcPr>
            <w:tcW w:type="dxa" w:w="1750"/>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297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5026"/>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750"/>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297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5026"/>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w:t>
      </w:r>
      <w:r>
        <w:rPr>
          <w:rFonts w:ascii="游ゴシック" w:hAnsi="游ゴシック" w:eastAsia="游ゴシック"/>
          <w:b/>
          <w:i w:val="0"/>
          <w:sz w:val="21"/>
        </w:rPr>
        <w:t>同条第7項（改正後第8項）</w:t>
      </w:r>
      <w:r>
        <w:rPr>
          <w:rFonts w:ascii="游ゴシック" w:hAnsi="游ゴシック" w:eastAsia="游ゴシック"/>
          <w:b w:val="0"/>
          <w:i w:val="0"/>
          <w:sz w:val="21"/>
        </w:rPr>
        <w:t>が、市町村老人福祉計画と一体のものとして作成することを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3"/>
        <w:gridCol w:w="1651"/>
        <w:gridCol w:w="5817"/>
      </w:tblGrid>
      <w:tr>
        <w:tc>
          <w:tcPr>
            <w:tcW w:type="dxa" w:w="2283"/>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651"/>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581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283"/>
            <w:vAlign w:val="center"/>
          </w:tcPr>
          <w:p>
            <w:pPr>
              <w:spacing w:before="20" w:after="20"/>
            </w:pPr>
            <w:r>
              <w:rPr>
                <w:rFonts w:ascii="游ゴシック" w:hAnsi="游ゴシック" w:eastAsia="游ゴシック"/>
                <w:b w:val="0"/>
                <w:i w:val="0"/>
                <w:sz w:val="17"/>
              </w:rPr>
              <w:t>小野町総合計画</w:t>
            </w:r>
          </w:p>
        </w:tc>
        <w:tc>
          <w:tcPr>
            <w:tcW w:type="dxa" w:w="1651"/>
            <w:vAlign w:val="center"/>
          </w:tcPr>
          <w:p>
            <w:pPr>
              <w:spacing w:before="20" w:after="20"/>
            </w:pPr>
            <w:r>
              <w:rPr>
                <w:rFonts w:ascii="游ゴシック" w:hAnsi="游ゴシック" w:eastAsia="游ゴシック"/>
                <w:b w:val="0"/>
                <w:i w:val="0"/>
                <w:sz w:val="17"/>
              </w:rPr>
              <w:t>町の最上位計画</w:t>
            </w:r>
          </w:p>
        </w:tc>
        <w:tc>
          <w:tcPr>
            <w:tcW w:type="dxa" w:w="581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283"/>
            <w:vAlign w:val="center"/>
          </w:tcPr>
          <w:p>
            <w:pPr>
              <w:spacing w:before="20" w:after="20"/>
            </w:pPr>
            <w:r>
              <w:rPr>
                <w:rFonts w:ascii="游ゴシック" w:hAnsi="游ゴシック" w:eastAsia="游ゴシック"/>
                <w:b/>
                <w:i w:val="0"/>
                <w:sz w:val="17"/>
              </w:rPr>
              <w:t>小野町第3期地域福祉計画</w:t>
            </w:r>
          </w:p>
        </w:tc>
        <w:tc>
          <w:tcPr>
            <w:tcW w:type="dxa" w:w="1651"/>
            <w:vAlign w:val="center"/>
          </w:tcPr>
          <w:p>
            <w:pPr>
              <w:spacing w:before="20" w:after="20"/>
            </w:pPr>
            <w:r>
              <w:rPr>
                <w:rFonts w:ascii="游ゴシック" w:hAnsi="游ゴシック" w:eastAsia="游ゴシック"/>
                <w:b w:val="0"/>
                <w:i w:val="0"/>
                <w:sz w:val="17"/>
              </w:rPr>
              <w:t>令和8〜12年度</w:t>
            </w:r>
          </w:p>
        </w:tc>
        <w:tc>
          <w:tcPr>
            <w:tcW w:type="dxa" w:w="581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283"/>
            <w:vAlign w:val="center"/>
          </w:tcPr>
          <w:p>
            <w:pPr>
              <w:spacing w:before="20" w:after="20"/>
            </w:pPr>
            <w:r>
              <w:rPr>
                <w:rFonts w:ascii="游ゴシック" w:hAnsi="游ゴシック" w:eastAsia="游ゴシック"/>
                <w:b w:val="0"/>
                <w:i w:val="0"/>
                <w:sz w:val="17"/>
              </w:rPr>
              <w:t>おのまち障がい者計画・障がい福祉計画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283"/>
            <w:vAlign w:val="center"/>
          </w:tcPr>
          <w:p>
            <w:pPr>
              <w:spacing w:before="20" w:after="20"/>
            </w:pPr>
            <w:r>
              <w:rPr>
                <w:rFonts w:ascii="游ゴシック" w:hAnsi="游ゴシック" w:eastAsia="游ゴシック"/>
                <w:b w:val="0"/>
                <w:i w:val="0"/>
                <w:sz w:val="17"/>
              </w:rPr>
              <w:t>小野町こども計画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283"/>
            <w:vAlign w:val="center"/>
          </w:tcPr>
          <w:p>
            <w:pPr>
              <w:spacing w:before="20" w:after="20"/>
            </w:pPr>
            <w:r>
              <w:rPr>
                <w:rFonts w:ascii="游ゴシック" w:hAnsi="游ゴシック" w:eastAsia="游ゴシック"/>
                <w:b w:val="0"/>
                <w:i w:val="0"/>
                <w:sz w:val="17"/>
              </w:rPr>
              <w:t>小野町地域公共交通計画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283"/>
            <w:vAlign w:val="center"/>
          </w:tcPr>
          <w:p>
            <w:pPr>
              <w:spacing w:before="20" w:after="20"/>
            </w:pPr>
            <w:r>
              <w:rPr>
                <w:rFonts w:ascii="游ゴシック" w:hAnsi="游ゴシック" w:eastAsia="游ゴシック"/>
                <w:b w:val="0"/>
                <w:i w:val="0"/>
                <w:sz w:val="17"/>
              </w:rPr>
              <w:t>小野町地域防災計画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283"/>
            <w:vAlign w:val="center"/>
          </w:tcPr>
          <w:p>
            <w:pPr>
              <w:spacing w:before="20" w:after="20"/>
            </w:pPr>
            <w:r>
              <w:rPr>
                <w:rFonts w:ascii="游ゴシック" w:hAnsi="游ゴシック" w:eastAsia="游ゴシック"/>
                <w:b w:val="0"/>
                <w:i w:val="0"/>
                <w:sz w:val="17"/>
              </w:rPr>
              <w:t>小野町過疎地域持続的発展計画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283"/>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施設整備の広域調整、県事業の活用</w:t>
            </w:r>
          </w:p>
        </w:tc>
      </w:tr>
      <w:tr>
        <w:tc>
          <w:tcPr>
            <w:tcW w:type="dxa" w:w="2283"/>
            <w:vAlign w:val="center"/>
          </w:tcPr>
          <w:p>
            <w:pPr>
              <w:spacing w:before="20" w:after="20"/>
            </w:pPr>
            <w:r>
              <w:rPr>
                <w:rFonts w:ascii="游ゴシック" w:hAnsi="游ゴシック" w:eastAsia="游ゴシック"/>
                <w:b/>
                <w:i w:val="0"/>
                <w:sz w:val="17"/>
              </w:rPr>
              <w:t>福島県高齢者居住安定確保計画</w:t>
            </w:r>
          </w:p>
        </w:tc>
        <w:tc>
          <w:tcPr>
            <w:tcW w:type="dxa" w:w="1651"/>
            <w:vAlign w:val="center"/>
          </w:tcPr>
          <w:p>
            <w:pPr>
              <w:spacing w:before="20" w:after="20"/>
            </w:pPr>
            <w:r>
              <w:rPr>
                <w:rFonts w:ascii="游ゴシック" w:hAnsi="游ゴシック" w:eastAsia="游ゴシック"/>
                <w:b/>
                <w:i w:val="0"/>
                <w:sz w:val="17"/>
              </w:rPr>
              <w:t>令和4〜8年度</w:t>
            </w:r>
          </w:p>
        </w:tc>
        <w:tc>
          <w:tcPr>
            <w:tcW w:type="dxa" w:w="5817"/>
            <w:vAlign w:val="center"/>
          </w:tcPr>
          <w:p>
            <w:pPr>
              <w:spacing w:before="20" w:after="20"/>
            </w:pPr>
            <w:r>
              <w:rPr>
                <w:rFonts w:ascii="游ゴシック" w:hAnsi="游ゴシック" w:eastAsia="游ゴシック"/>
                <w:b/>
                <w:i w:val="0"/>
                <w:sz w:val="17"/>
              </w:rPr>
              <w:t>高齢者住まい法第4条に基づく県の計画。</w:t>
            </w:r>
            <w:r>
              <w:rPr>
                <w:rFonts w:ascii="游ゴシック" w:hAnsi="游ゴシック" w:eastAsia="游ゴシック"/>
                <w:b w:val="0"/>
                <w:i w:val="0"/>
                <w:sz w:val="17"/>
              </w:rPr>
              <w:t>高齢者の住まいの確保、住宅改修、サービス付き高齢者向け住宅・老人ホームの供給。</w:t>
            </w:r>
            <w:r>
              <w:rPr>
                <w:rFonts w:ascii="游ゴシック" w:hAnsi="游ゴシック" w:eastAsia="游ゴシック"/>
                <w:b/>
                <w:i w:val="0"/>
                <w:sz w:val="17"/>
              </w:rPr>
              <w:t>同計画は、主語が書かれていない文の主語を県及び市町村としており、本町に直接及びます</w:t>
            </w:r>
          </w:p>
        </w:tc>
      </w:tr>
      <w:tr>
        <w:tc>
          <w:tcPr>
            <w:tcW w:type="dxa" w:w="2283"/>
            <w:vAlign w:val="center"/>
          </w:tcPr>
          <w:p>
            <w:pPr>
              <w:spacing w:before="20" w:after="20"/>
            </w:pPr>
            <w:r>
              <w:rPr>
                <w:rFonts w:ascii="游ゴシック" w:hAnsi="游ゴシック" w:eastAsia="游ゴシック"/>
                <w:b w:val="0"/>
                <w:i w:val="0"/>
                <w:sz w:val="17"/>
              </w:rPr>
              <w:t>福島県住生活基本計画</w:t>
            </w:r>
          </w:p>
        </w:tc>
        <w:tc>
          <w:tcPr>
            <w:tcW w:type="dxa" w:w="1651"/>
            <w:vAlign w:val="center"/>
          </w:tcPr>
          <w:p>
            <w:pPr>
              <w:spacing w:before="20" w:after="20"/>
            </w:pPr>
            <w:r>
              <w:rPr>
                <w:rFonts w:ascii="游ゴシック" w:hAnsi="游ゴシック" w:eastAsia="游ゴシック"/>
                <w:b w:val="0"/>
                <w:i w:val="0"/>
                <w:sz w:val="17"/>
              </w:rPr>
              <w:t>令和4〜13年度</w:t>
            </w:r>
          </w:p>
        </w:tc>
        <w:tc>
          <w:tcPr>
            <w:tcW w:type="dxa" w:w="5817"/>
            <w:vAlign w:val="center"/>
          </w:tcPr>
          <w:p>
            <w:pPr>
              <w:spacing w:before="20" w:after="20"/>
            </w:pPr>
            <w:r>
              <w:rPr>
                <w:rFonts w:ascii="游ゴシック" w:hAnsi="游ゴシック" w:eastAsia="游ゴシック"/>
                <w:b w:val="0"/>
                <w:i w:val="0"/>
                <w:sz w:val="17"/>
              </w:rPr>
              <w:t>住生活基本法に基づく県の計画。上記の上位計画</w:t>
            </w:r>
          </w:p>
        </w:tc>
      </w:tr>
      <w:tr>
        <w:tc>
          <w:tcPr>
            <w:tcW w:type="dxa" w:w="2283"/>
            <w:vAlign w:val="center"/>
          </w:tcPr>
          <w:p>
            <w:pPr>
              <w:spacing w:before="20" w:after="20"/>
            </w:pPr>
            <w:r>
              <w:rPr>
                <w:rFonts w:ascii="游ゴシック" w:hAnsi="游ゴシック" w:eastAsia="游ゴシック"/>
                <w:b w:val="0"/>
                <w:i w:val="0"/>
                <w:sz w:val="17"/>
              </w:rPr>
              <w:t>福島県賃貸住宅供給促進計画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住宅セーフティネット法第5条に基づく県の計画。</w:t>
            </w:r>
            <w:r>
              <w:rPr>
                <w:rFonts w:ascii="游ゴシック" w:hAnsi="游ゴシック" w:eastAsia="游ゴシック"/>
                <w:b w:val="0"/>
                <w:i w:val="0"/>
                <w:sz w:val="17"/>
              </w:rPr>
              <w:t>住宅確保要配慮者（高齢者を含む）への賃貸住宅の供給</w:t>
            </w:r>
          </w:p>
        </w:tc>
      </w:tr>
      <w:tr>
        <w:tc>
          <w:tcPr>
            <w:tcW w:type="dxa" w:w="2283"/>
            <w:vAlign w:val="center"/>
          </w:tcPr>
          <w:p>
            <w:pPr>
              <w:spacing w:before="20" w:after="20"/>
            </w:pPr>
            <w:r>
              <w:rPr>
                <w:rFonts w:ascii="游ゴシック" w:hAnsi="游ゴシック" w:eastAsia="游ゴシック"/>
                <w:b/>
                <w:i w:val="0"/>
                <w:sz w:val="17"/>
              </w:rPr>
              <w:t>福島県保健医療計画（第八次）・地域医療構想</w:t>
            </w:r>
          </w:p>
        </w:tc>
        <w:tc>
          <w:tcPr>
            <w:tcW w:type="dxa" w:w="1651"/>
            <w:vAlign w:val="center"/>
          </w:tcPr>
          <w:p>
            <w:pPr>
              <w:spacing w:before="20" w:after="20"/>
            </w:pPr>
            <w:r>
              <w:rPr>
                <w:rFonts w:ascii="游ゴシック" w:hAnsi="游ゴシック" w:eastAsia="游ゴシック"/>
                <w:b w:val="0"/>
                <w:i w:val="0"/>
                <w:sz w:val="17"/>
              </w:rPr>
              <w:t>令和6〜11年度</w:t>
            </w:r>
          </w:p>
        </w:tc>
        <w:tc>
          <w:tcPr>
            <w:tcW w:type="dxa" w:w="5817"/>
            <w:vAlign w:val="center"/>
          </w:tcPr>
          <w:p>
            <w:pPr>
              <w:spacing w:before="20" w:after="20"/>
            </w:pPr>
            <w:r>
              <w:rPr>
                <w:rFonts w:ascii="游ゴシック" w:hAnsi="游ゴシック" w:eastAsia="游ゴシック"/>
                <w:b/>
                <w:i w:val="0"/>
                <w:sz w:val="17"/>
              </w:rPr>
              <w:t>3課長連名通知が整合を求めるもの</w:t>
            </w:r>
            <w:r>
              <w:rPr>
                <w:rFonts w:ascii="游ゴシック" w:hAnsi="游ゴシック" w:eastAsia="游ゴシック"/>
                <w:b w:val="0"/>
                <w:i w:val="0"/>
                <w:sz w:val="17"/>
              </w:rPr>
              <w:t>（法律上の義務ではありません。下記の※を参照）。在宅医療の体制、病床の機能分化・連携（第5章 基本目標2⑦）。</w:t>
            </w:r>
            <w:r>
              <w:rPr>
                <w:rFonts w:ascii="游ゴシック" w:hAnsi="游ゴシック" w:eastAsia="游ゴシック"/>
                <w:b/>
                <w:i w:val="0"/>
                <w:sz w:val="17"/>
              </w:rPr>
              <w:t>本町は県中医療圏</w:t>
            </w:r>
            <w:r>
              <w:rPr>
                <w:rFonts w:ascii="游ゴシック" w:hAnsi="游ゴシック" w:eastAsia="游ゴシック"/>
                <w:b w:val="0"/>
                <w:i w:val="0"/>
                <w:sz w:val="17"/>
              </w:rPr>
              <w:t>（郡山市、須賀川市、田村市、鏡石町、天栄村、石川町、玉川村、平田村、浅川町、古殿町、三春町、小野町）</w:t>
            </w:r>
            <w:r>
              <w:rPr>
                <w:rFonts w:ascii="游ゴシック" w:hAnsi="游ゴシック" w:eastAsia="游ゴシック"/>
                <w:b/>
                <w:i w:val="0"/>
                <w:sz w:val="17"/>
              </w:rPr>
              <w:t>に属します</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第117条第10項（改正後第11項）は、地域における医療及び介護の総合的な確保の促進に関する法律第5条第1項の市町村計画に対して整合性の確保を、同条第11項（改正後第12項）は、市町村地域福祉計画（社会福祉法第107条第1項）・市町村高齢者居住安定確保計画（高齢者住まい法第4条の2第1項）その他の計画に対して調和を求めています。</w:t>
      </w:r>
      <w:r>
        <w:rPr>
          <w:rFonts w:ascii="游ゴシック" w:hAnsi="游ゴシック" w:eastAsia="游ゴシック"/>
          <w:b/>
          <w:i w:val="0"/>
          <w:sz w:val="17"/>
        </w:rPr>
        <w:t>※ 医療計画（医療法第30条の4第1項）との整合性の確保は、第118条第10項が都道府県介護保険事業支援計画に求めるもので、市町村介護保険事業計画の法律上の義務ではありません。</w:t>
      </w:r>
      <w:r>
        <w:rPr>
          <w:rFonts w:ascii="游ゴシック" w:hAnsi="游ゴシック" w:eastAsia="游ゴシック"/>
          <w:b/>
          <w:i w:val="0"/>
          <w:sz w:val="17"/>
        </w:rPr>
        <w:t>第117条には「医療計画」の語が1度も現れません</w:t>
      </w:r>
      <w:r>
        <w:rPr>
          <w:rFonts w:ascii="游ゴシック" w:hAnsi="游ゴシック" w:eastAsia="游ゴシック"/>
          <w:b w:val="0"/>
          <w:i w:val="0"/>
          <w:sz w:val="17"/>
        </w:rPr>
        <w:t>（現行条文・e-Gov 法令API 令和8年10月19日取得で確認）。</w:t>
      </w:r>
      <w:r>
        <w:rPr>
          <w:rFonts w:ascii="游ゴシック" w:hAnsi="游ゴシック" w:eastAsia="游ゴシック"/>
          <w:b/>
          <w:i w:val="0"/>
          <w:sz w:val="17"/>
        </w:rPr>
        <w:t>本計画が県保健医療計画との整合を図るのは、下記の3課長連名通知によるものです。</w:t>
      </w:r>
      <w:r>
        <w:rPr>
          <w:rFonts w:ascii="游ゴシック" w:hAnsi="游ゴシック" w:eastAsia="游ゴシック"/>
          <w:b/>
          <w:i w:val="0"/>
          <w:sz w:val="17"/>
        </w:rPr>
        <w:t>国の基本指針は、調和を保つ相手方として、市町村地域福祉計画・市町村賃貸住宅供給促進計画・市町村障害福祉計画・市町村健康増進計画・生涯活躍のまち形成事業計画を挙げています。</w:t>
      </w:r>
      <w:r>
        <w:rPr>
          <w:rFonts w:ascii="游ゴシック" w:hAnsi="游ゴシック" w:eastAsia="游ゴシック"/>
          <w:b w:val="0"/>
          <w:i w:val="0"/>
          <w:sz w:val="17"/>
        </w:rPr>
        <w:t>※ 本町が市町村高齢者居住安定確保計画・市町村賃貸住宅供給促進計画・医療介護総合確保促進法第5条第1項の市町村計画を定めているかは【町データ待ち】。</w:t>
      </w:r>
      <w:r>
        <w:rPr>
          <w:rFonts w:ascii="游ゴシック" w:hAnsi="游ゴシック" w:eastAsia="游ゴシック"/>
          <w:b/>
          <w:i w:val="0"/>
          <w:sz w:val="17"/>
        </w:rPr>
        <w:t>※ 地域医療構想は、現行では医療計画の一部ですが（医療法第30条の4第2項第7号）、令和9年4月1日からは県が医療計画とは別に定める「将来の医療提供体制に関する構想」に改まります（改正後の同法第30条の3の3第1項）。</w:t>
      </w:r>
      <w:r>
        <w:rPr>
          <w:rFonts w:ascii="游ゴシック" w:hAnsi="游ゴシック" w:eastAsia="游ゴシック"/>
          <w:b w:val="0"/>
          <w:i w:val="0"/>
          <w:sz w:val="17"/>
        </w:rPr>
        <w:t>県の新たな地域医療構想が示された段階で第5章 基本目標2⑦に反映します（【決定後に記載】）。</w:t>
      </w:r>
      <w:r>
        <w:rPr>
          <w:rFonts w:ascii="游ゴシック" w:hAnsi="游ゴシック" w:eastAsia="游ゴシック"/>
          <w:b/>
          <w:i w:val="0"/>
          <w:sz w:val="17"/>
        </w:rPr>
        <w:t>※ 福島県高齢者居住安定確保計画は令和8年度で計画期間が満了し、本計画の期間の初日には現行計画が存在しません。</w:t>
      </w:r>
      <w:r>
        <w:rPr>
          <w:rFonts w:ascii="游ゴシック" w:hAnsi="游ゴシック" w:eastAsia="游ゴシック"/>
          <w:b w:val="0"/>
          <w:i w:val="0"/>
          <w:sz w:val="17"/>
        </w:rPr>
        <w:t>改定の時期と内容を県に確かめています（【町データ待ち】）。</w:t>
      </w:r>
    </w:p>
    <w:p>
      <w:pPr>
        <w:spacing w:before="40" w:after="160"/>
        <w:ind w:left="113"/>
      </w:pPr>
      <w:r>
        <w:rPr>
          <w:rFonts w:ascii="游ゴシック" w:hAnsi="游ゴシック" w:eastAsia="游ゴシック"/>
          <w:b w:val="0"/>
          <w:i w:val="0"/>
          <w:sz w:val="17"/>
        </w:rPr>
        <w:t>資料：福島県高齢者居住安定確保計画（令和4年3月・福島県土木部）。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よる。</w:t>
      </w: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1"/>
        <w:gridCol w:w="7790"/>
      </w:tblGrid>
      <w:tr>
        <w:tc>
          <w:tcPr>
            <w:tcW w:type="dxa" w:w="1961"/>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79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61"/>
            <w:vAlign w:val="center"/>
          </w:tcPr>
          <w:p>
            <w:pPr>
              <w:spacing w:before="20" w:after="20"/>
            </w:pPr>
            <w:r>
              <w:rPr>
                <w:rFonts w:ascii="游ゴシック" w:hAnsi="游ゴシック" w:eastAsia="游ゴシック"/>
                <w:b/>
                <w:i w:val="0"/>
                <w:sz w:val="17"/>
              </w:rPr>
              <w:t>① 中長期の時間軸</w:t>
            </w:r>
          </w:p>
        </w:tc>
        <w:tc>
          <w:tcPr>
            <w:tcW w:type="dxa" w:w="7790"/>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1961"/>
            <w:vAlign w:val="center"/>
          </w:tcPr>
          <w:p>
            <w:pPr>
              <w:spacing w:before="20" w:after="20"/>
            </w:pPr>
            <w:r>
              <w:rPr>
                <w:rFonts w:ascii="游ゴシック" w:hAnsi="游ゴシック" w:eastAsia="游ゴシック"/>
                <w:b/>
                <w:i w:val="0"/>
                <w:sz w:val="17"/>
              </w:rPr>
              <w:t>② 需要と供給の分離</w:t>
            </w:r>
          </w:p>
        </w:tc>
        <w:tc>
          <w:tcPr>
            <w:tcW w:type="dxa" w:w="7790"/>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1961"/>
            <w:vAlign w:val="center"/>
          </w:tcPr>
          <w:p>
            <w:pPr>
              <w:spacing w:before="20" w:after="20"/>
            </w:pPr>
            <w:r>
              <w:rPr>
                <w:rFonts w:ascii="游ゴシック" w:hAnsi="游ゴシック" w:eastAsia="游ゴシック"/>
                <w:b/>
                <w:i w:val="0"/>
                <w:sz w:val="17"/>
              </w:rPr>
              <w:t>③ 供給の空白の可視化</w:t>
            </w:r>
          </w:p>
        </w:tc>
        <w:tc>
          <w:tcPr>
            <w:tcW w:type="dxa" w:w="7790"/>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1961"/>
            <w:vAlign w:val="center"/>
          </w:tcPr>
          <w:p>
            <w:pPr>
              <w:spacing w:before="20" w:after="20"/>
            </w:pPr>
            <w:r>
              <w:rPr>
                <w:rFonts w:ascii="游ゴシック" w:hAnsi="游ゴシック" w:eastAsia="游ゴシック"/>
                <w:b/>
                <w:i w:val="0"/>
                <w:sz w:val="17"/>
              </w:rPr>
              <w:t>④ 本人・家族の生活成果</w:t>
            </w:r>
          </w:p>
        </w:tc>
        <w:tc>
          <w:tcPr>
            <w:tcW w:type="dxa" w:w="7790"/>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1961"/>
            <w:vAlign w:val="center"/>
          </w:tcPr>
          <w:p>
            <w:pPr>
              <w:spacing w:before="20" w:after="20"/>
            </w:pPr>
            <w:r>
              <w:rPr>
                <w:rFonts w:ascii="游ゴシック" w:hAnsi="游ゴシック" w:eastAsia="游ゴシック"/>
                <w:b/>
                <w:i w:val="0"/>
                <w:sz w:val="17"/>
              </w:rPr>
              <w:t>⑤ 活動と成果の対応</w:t>
            </w:r>
          </w:p>
        </w:tc>
        <w:tc>
          <w:tcPr>
            <w:tcW w:type="dxa" w:w="7790"/>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1961"/>
            <w:vAlign w:val="center"/>
          </w:tcPr>
          <w:p>
            <w:pPr>
              <w:keepNext/>
              <w:spacing w:before="20" w:after="20"/>
            </w:pPr>
            <w:r>
              <w:rPr>
                <w:rFonts w:ascii="游ゴシック" w:hAnsi="游ゴシック" w:eastAsia="游ゴシック"/>
                <w:b/>
                <w:i w:val="0"/>
                <w:sz w:val="17"/>
              </w:rPr>
              <w:t>⑥ 実行可能性</w:t>
            </w:r>
          </w:p>
        </w:tc>
        <w:tc>
          <w:tcPr>
            <w:tcW w:type="dxa" w:w="7790"/>
            <w:vAlign w:val="center"/>
          </w:tcPr>
          <w:p>
            <w:pPr>
              <w:keepNext/>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r>
        <w:tc>
          <w:tcPr>
            <w:tcW w:type="dxa" w:w="1961"/>
            <w:vAlign w:val="center"/>
          </w:tcPr>
          <w:p>
            <w:pPr>
              <w:spacing w:before="20" w:after="20"/>
            </w:pPr>
            <w:r>
              <w:rPr>
                <w:rFonts w:ascii="游ゴシック" w:hAnsi="游ゴシック" w:eastAsia="游ゴシック"/>
                <w:b/>
                <w:i w:val="0"/>
                <w:sz w:val="17"/>
              </w:rPr>
              <w:t>⑦ 地域の類型</w:t>
            </w:r>
          </w:p>
        </w:tc>
        <w:tc>
          <w:tcPr>
            <w:tcW w:type="dxa" w:w="7790"/>
            <w:vAlign w:val="center"/>
          </w:tcPr>
          <w:p>
            <w:pPr>
              <w:spacing w:before="20" w:after="20"/>
            </w:pPr>
            <w:r>
              <w:rPr>
                <w:rFonts w:ascii="游ゴシック" w:hAnsi="游ゴシック" w:eastAsia="游ゴシック"/>
                <w:b/>
                <w:i w:val="0"/>
                <w:sz w:val="17"/>
              </w:rPr>
              <w:t>国の基本指針の案は、「大都市部」「中山間・人口減少地域」「一般市等」の地域の類型を念頭に、「時間軸」「地域軸」の両面から計画を立てることを求めています。</w:t>
            </w:r>
            <w:r>
              <w:rPr>
                <w:rFonts w:ascii="游ゴシック" w:hAnsi="游ゴシック" w:eastAsia="游ゴシック"/>
                <w:b w:val="0"/>
                <w:i w:val="0"/>
                <w:sz w:val="17"/>
              </w:rPr>
              <w:t xml:space="preserve"> 本町は、総人口8千人台で人口の減少が続き、町全域が過疎地域、旧夏井村の区域が振興山村であることから、</w:t>
            </w:r>
            <w:r>
              <w:rPr>
                <w:rFonts w:ascii="游ゴシック" w:hAnsi="游ゴシック" w:eastAsia="游ゴシック"/>
                <w:b/>
                <w:i w:val="0"/>
                <w:sz w:val="17"/>
              </w:rPr>
              <w:t>「中山間・人口減少地域」の類型に当たります。</w:t>
            </w:r>
            <w:r>
              <w:rPr>
                <w:rFonts w:ascii="游ゴシック" w:hAnsi="游ゴシック" w:eastAsia="游ゴシック"/>
                <w:b w:val="0"/>
                <w:i w:val="0"/>
                <w:sz w:val="17"/>
              </w:rPr>
              <w:t xml:space="preserve"> 地域の現状は、基本指針の案の別表1の指標を参考に把握します（資料編12）</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i w:val="0"/>
          <w:sz w:val="21"/>
        </w:rPr>
        <w:t>介護保険法は、市町村が、施策の実施状況及び目標の達成状況に関する調査及び分析を行い、計画の実績に関する評価を行うものとしています</w:t>
      </w:r>
      <w:r>
        <w:rPr>
          <w:rFonts w:ascii="游ゴシック" w:hAnsi="游ゴシック" w:eastAsia="游ゴシック"/>
          <w:b w:val="0"/>
          <w:i w:val="0"/>
          <w:sz w:val="21"/>
        </w:rPr>
        <w:t>（同法第117条。令和8年法律第51号による改正後は第9項。</w:t>
      </w:r>
      <w:r>
        <w:rPr>
          <w:rFonts w:ascii="游ゴシック" w:hAnsi="游ゴシック" w:eastAsia="游ゴシック"/>
          <w:b/>
          <w:i w:val="0"/>
          <w:sz w:val="21"/>
        </w:rPr>
        <w:t>改正により第5項が新設されたため、第5項以降の項番号が1つ繰り下がります</w:t>
      </w:r>
      <w:r>
        <w:rPr>
          <w:rFonts w:ascii="游ゴシック" w:hAnsi="游ゴシック" w:eastAsia="游ゴシック"/>
          <w:b w:val="0"/>
          <w:i w:val="0"/>
          <w:sz w:val="21"/>
        </w:rPr>
        <w:t>）。</w:t>
      </w:r>
      <w:r>
        <w:rPr>
          <w:rFonts w:ascii="游ゴシック" w:hAnsi="游ゴシック" w:eastAsia="游ゴシック"/>
          <w:b/>
          <w:i w:val="0"/>
          <w:sz w:val="21"/>
        </w:rPr>
        <w:t>評価の対象となるのは、同条第2項第5号に規定する施策と同項第6号に規定する目標です。</w:t>
      </w:r>
      <w:r>
        <w:rPr>
          <w:rFonts w:ascii="游ゴシック" w:hAnsi="游ゴシック" w:eastAsia="游ゴシック"/>
          <w:b w:val="0"/>
          <w:i w:val="0"/>
          <w:sz w:val="21"/>
        </w:rPr>
        <w:t>第2項に第3号・第4号（中長期的な推計と中長期の施策）が新設されたため、</w:t>
      </w:r>
      <w:r>
        <w:rPr>
          <w:rFonts w:ascii="游ゴシック" w:hAnsi="游ゴシック" w:eastAsia="游ゴシック"/>
          <w:b/>
          <w:i w:val="0"/>
          <w:sz w:val="21"/>
        </w:rPr>
        <w:t>従前の第3号（施策）・第4号（目標）が第5号・第6号に繰り下がりました</w:t>
      </w:r>
      <w:r>
        <w:rPr>
          <w:rFonts w:ascii="游ゴシック" w:hAnsi="游ゴシック" w:eastAsia="游ゴシック"/>
          <w:b w:val="0"/>
          <w:i w:val="0"/>
          <w:sz w:val="21"/>
        </w:rPr>
        <w:t>。</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spacing w:before="60" w:after="60"/>
      </w:pPr>
      <w:r>
        <w:rPr>
          <w:rFonts w:ascii="游ゴシック" w:hAnsi="游ゴシック" w:eastAsia="游ゴシック"/>
          <w:b/>
          <w:i w:val="0"/>
          <w:sz w:val="21"/>
        </w:rPr>
        <w:t>庁内では、介護保険・高齢者福祉の担当を事務局とし、関係する担当と連携して検討します。</w:t>
      </w:r>
      <w:r>
        <w:rPr>
          <w:rFonts w:ascii="游ゴシック" w:hAnsi="游ゴシック" w:eastAsia="游ゴシック"/>
          <w:b w:val="0"/>
          <w:i w:val="0"/>
          <w:sz w:val="21"/>
        </w:rPr>
        <w:t>関係する担当と、それぞれが関わる事項は下表のとおりです。庁内の会議の名称・構成・開催予定は【決定後に記載】。</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14"/>
        <w:gridCol w:w="4888"/>
        <w:gridCol w:w="2749"/>
      </w:tblGrid>
      <w:tr>
        <w:tc>
          <w:tcPr>
            <w:tcW w:type="dxa" w:w="2114"/>
            <w:shd w:val="clear" w:fill="1F3864"/>
            <w:vAlign w:val="center"/>
          </w:tcPr>
          <w:p>
            <w:pPr>
              <w:spacing w:before="20" w:after="20"/>
              <w:jc w:val="center"/>
            </w:pPr>
            <w:r>
              <w:rPr>
                <w:rFonts w:ascii="游ゴシック" w:hAnsi="游ゴシック" w:eastAsia="游ゴシック"/>
                <w:b/>
                <w:i w:val="0"/>
                <w:color w:val="FFFFFF"/>
                <w:sz w:val="17"/>
              </w:rPr>
              <w:t>関係する担当</w:t>
            </w:r>
          </w:p>
        </w:tc>
        <w:tc>
          <w:tcPr>
            <w:tcW w:type="dxa" w:w="4888"/>
            <w:shd w:val="clear" w:fill="1F3864"/>
            <w:vAlign w:val="center"/>
          </w:tcPr>
          <w:p>
            <w:pPr>
              <w:spacing w:before="20" w:after="20"/>
              <w:jc w:val="center"/>
            </w:pPr>
            <w:r>
              <w:rPr>
                <w:rFonts w:ascii="游ゴシック" w:hAnsi="游ゴシック" w:eastAsia="游ゴシック"/>
                <w:b/>
                <w:i w:val="0"/>
                <w:color w:val="FFFFFF"/>
                <w:sz w:val="17"/>
              </w:rPr>
              <w:t>関わる事項</w:t>
            </w:r>
          </w:p>
        </w:tc>
        <w:tc>
          <w:tcPr>
            <w:tcW w:type="dxa" w:w="2749"/>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2114"/>
            <w:vAlign w:val="center"/>
          </w:tcPr>
          <w:p>
            <w:pPr>
              <w:spacing w:before="20" w:after="20"/>
            </w:pPr>
            <w:r>
              <w:rPr>
                <w:rFonts w:ascii="游ゴシック" w:hAnsi="游ゴシック" w:eastAsia="游ゴシック"/>
                <w:b w:val="0"/>
                <w:i w:val="0"/>
                <w:sz w:val="17"/>
              </w:rPr>
              <w:t>保健（健康づくり）</w:t>
            </w:r>
          </w:p>
        </w:tc>
        <w:tc>
          <w:tcPr>
            <w:tcW w:type="dxa" w:w="4888"/>
            <w:vAlign w:val="center"/>
          </w:tcPr>
          <w:p>
            <w:pPr>
              <w:spacing w:before="20" w:after="20"/>
            </w:pPr>
            <w:r>
              <w:rPr>
                <w:rFonts w:ascii="游ゴシック" w:hAnsi="游ゴシック" w:eastAsia="游ゴシック"/>
                <w:b w:val="0"/>
                <w:i w:val="0"/>
                <w:sz w:val="17"/>
              </w:rPr>
              <w:t>健康増進計画、特定健診、一体的実施</w:t>
            </w:r>
          </w:p>
        </w:tc>
        <w:tc>
          <w:tcPr>
            <w:tcW w:type="dxa" w:w="2749"/>
            <w:vAlign w:val="center"/>
          </w:tcPr>
          <w:p>
            <w:pPr>
              <w:spacing w:before="20" w:after="20"/>
            </w:pPr>
            <w:r>
              <w:rPr>
                <w:rFonts w:ascii="游ゴシック" w:hAnsi="游ゴシック" w:eastAsia="游ゴシック"/>
                <w:b w:val="0"/>
                <w:i w:val="0"/>
                <w:sz w:val="17"/>
              </w:rPr>
              <w:t>第4章3、第5章 基本目標1①・②</w:t>
            </w:r>
          </w:p>
        </w:tc>
      </w:tr>
      <w:tr>
        <w:tc>
          <w:tcPr>
            <w:tcW w:type="dxa" w:w="2114"/>
            <w:vAlign w:val="center"/>
          </w:tcPr>
          <w:p>
            <w:pPr>
              <w:spacing w:before="20" w:after="20"/>
            </w:pPr>
            <w:r>
              <w:rPr>
                <w:rFonts w:ascii="游ゴシック" w:hAnsi="游ゴシック" w:eastAsia="游ゴシック"/>
                <w:b w:val="0"/>
                <w:i w:val="0"/>
                <w:sz w:val="17"/>
              </w:rPr>
              <w:t>障がい福祉</w:t>
            </w:r>
          </w:p>
        </w:tc>
        <w:tc>
          <w:tcPr>
            <w:tcW w:type="dxa" w:w="4888"/>
            <w:vAlign w:val="center"/>
          </w:tcPr>
          <w:p>
            <w:pPr>
              <w:spacing w:before="20" w:after="20"/>
            </w:pPr>
            <w:r>
              <w:rPr>
                <w:rFonts w:ascii="游ゴシック" w:hAnsi="游ゴシック" w:eastAsia="游ゴシック"/>
                <w:b w:val="0"/>
                <w:i w:val="0"/>
                <w:sz w:val="17"/>
              </w:rPr>
              <w:t>障がい福祉計画との接点、共生型サービス</w:t>
            </w:r>
          </w:p>
        </w:tc>
        <w:tc>
          <w:tcPr>
            <w:tcW w:type="dxa" w:w="2749"/>
            <w:vAlign w:val="center"/>
          </w:tcPr>
          <w:p>
            <w:pPr>
              <w:spacing w:before="20" w:after="20"/>
            </w:pPr>
            <w:r>
              <w:rPr>
                <w:rFonts w:ascii="游ゴシック" w:hAnsi="游ゴシック" w:eastAsia="游ゴシック"/>
                <w:b w:val="0"/>
                <w:i w:val="0"/>
                <w:sz w:val="17"/>
              </w:rPr>
              <w:t>第4章4</w:t>
            </w:r>
          </w:p>
        </w:tc>
      </w:tr>
      <w:tr>
        <w:tc>
          <w:tcPr>
            <w:tcW w:type="dxa" w:w="2114"/>
            <w:vAlign w:val="center"/>
          </w:tcPr>
          <w:p>
            <w:pPr>
              <w:spacing w:before="20" w:after="20"/>
            </w:pPr>
            <w:r>
              <w:rPr>
                <w:rFonts w:ascii="游ゴシック" w:hAnsi="游ゴシック" w:eastAsia="游ゴシック"/>
                <w:b w:val="0"/>
                <w:i w:val="0"/>
                <w:sz w:val="17"/>
              </w:rPr>
              <w:t>地域福祉</w:t>
            </w:r>
          </w:p>
        </w:tc>
        <w:tc>
          <w:tcPr>
            <w:tcW w:type="dxa" w:w="4888"/>
            <w:vAlign w:val="center"/>
          </w:tcPr>
          <w:p>
            <w:pPr>
              <w:spacing w:before="20" w:after="20"/>
            </w:pPr>
            <w:r>
              <w:rPr>
                <w:rFonts w:ascii="游ゴシック" w:hAnsi="游ゴシック" w:eastAsia="游ゴシック"/>
                <w:b w:val="0"/>
                <w:i w:val="0"/>
                <w:sz w:val="17"/>
              </w:rPr>
              <w:t>第3期地域福祉計画、重層的支援体制整備事業</w:t>
            </w:r>
          </w:p>
        </w:tc>
        <w:tc>
          <w:tcPr>
            <w:tcW w:type="dxa" w:w="2749"/>
            <w:vAlign w:val="center"/>
          </w:tcPr>
          <w:p>
            <w:pPr>
              <w:spacing w:before="20" w:after="20"/>
            </w:pPr>
            <w:r>
              <w:rPr>
                <w:rFonts w:ascii="游ゴシック" w:hAnsi="游ゴシック" w:eastAsia="游ゴシック"/>
                <w:b w:val="0"/>
                <w:i w:val="0"/>
                <w:sz w:val="17"/>
              </w:rPr>
              <w:t>第4章3</w:t>
            </w:r>
          </w:p>
        </w:tc>
      </w:tr>
      <w:tr>
        <w:tc>
          <w:tcPr>
            <w:tcW w:type="dxa" w:w="2114"/>
            <w:vAlign w:val="center"/>
          </w:tcPr>
          <w:p>
            <w:pPr>
              <w:spacing w:before="20" w:after="20"/>
            </w:pPr>
            <w:r>
              <w:rPr>
                <w:rFonts w:ascii="游ゴシック" w:hAnsi="游ゴシック" w:eastAsia="游ゴシック"/>
                <w:b/>
                <w:i w:val="0"/>
                <w:sz w:val="17"/>
              </w:rPr>
              <w:t>住宅</w:t>
            </w:r>
          </w:p>
        </w:tc>
        <w:tc>
          <w:tcPr>
            <w:tcW w:type="dxa" w:w="4888"/>
            <w:vAlign w:val="center"/>
          </w:tcPr>
          <w:p>
            <w:pPr>
              <w:spacing w:before="20" w:after="20"/>
            </w:pPr>
            <w:r>
              <w:rPr>
                <w:rFonts w:ascii="游ゴシック" w:hAnsi="游ゴシック" w:eastAsia="游ゴシック"/>
                <w:b/>
                <w:i w:val="0"/>
                <w:sz w:val="17"/>
              </w:rPr>
              <w:t>有料老人ホーム・サービス付き高齢者向け住宅の入居定員の把握、県の高齢者居住安定確保計画との調和、公営住宅</w:t>
            </w:r>
          </w:p>
        </w:tc>
        <w:tc>
          <w:tcPr>
            <w:tcW w:type="dxa" w:w="2749"/>
            <w:vAlign w:val="center"/>
          </w:tcPr>
          <w:p>
            <w:pPr>
              <w:spacing w:before="20" w:after="20"/>
            </w:pPr>
            <w:r>
              <w:rPr>
                <w:rFonts w:ascii="游ゴシック" w:hAnsi="游ゴシック" w:eastAsia="游ゴシック"/>
                <w:b w:val="0"/>
                <w:i w:val="0"/>
                <w:sz w:val="17"/>
              </w:rPr>
              <w:t>第1章3、第2章5、第6章2</w:t>
            </w:r>
          </w:p>
        </w:tc>
      </w:tr>
      <w:tr>
        <w:tc>
          <w:tcPr>
            <w:tcW w:type="dxa" w:w="2114"/>
            <w:vAlign w:val="center"/>
          </w:tcPr>
          <w:p>
            <w:pPr>
              <w:keepNext/>
              <w:spacing w:before="20" w:after="20"/>
            </w:pPr>
            <w:r>
              <w:rPr>
                <w:rFonts w:ascii="游ゴシック" w:hAnsi="游ゴシック" w:eastAsia="游ゴシック"/>
                <w:b w:val="0"/>
                <w:i w:val="0"/>
                <w:sz w:val="17"/>
              </w:rPr>
              <w:t>防災</w:t>
            </w:r>
          </w:p>
        </w:tc>
        <w:tc>
          <w:tcPr>
            <w:tcW w:type="dxa" w:w="4888"/>
            <w:vAlign w:val="center"/>
          </w:tcPr>
          <w:p>
            <w:pPr>
              <w:keepNext/>
              <w:spacing w:before="20" w:after="20"/>
            </w:pPr>
            <w:r>
              <w:rPr>
                <w:rFonts w:ascii="游ゴシック" w:hAnsi="游ゴシック" w:eastAsia="游ゴシック"/>
                <w:b w:val="0"/>
                <w:i w:val="0"/>
                <w:sz w:val="17"/>
              </w:rPr>
              <w:t>避難行動要支援者名簿、個別避難計画、福祉避難所</w:t>
            </w:r>
          </w:p>
        </w:tc>
        <w:tc>
          <w:tcPr>
            <w:tcW w:type="dxa" w:w="2749"/>
            <w:vAlign w:val="center"/>
          </w:tcPr>
          <w:p>
            <w:pPr>
              <w:keepNext/>
              <w:spacing w:before="20" w:after="20"/>
            </w:pPr>
            <w:r>
              <w:rPr>
                <w:rFonts w:ascii="游ゴシック" w:hAnsi="游ゴシック" w:eastAsia="游ゴシック"/>
                <w:b w:val="0"/>
                <w:i w:val="0"/>
                <w:sz w:val="17"/>
              </w:rPr>
              <w:t>第5章 基本目標2④</w:t>
            </w:r>
          </w:p>
        </w:tc>
      </w:tr>
      <w:tr>
        <w:tc>
          <w:tcPr>
            <w:tcW w:type="dxa" w:w="2114"/>
            <w:vAlign w:val="center"/>
          </w:tcPr>
          <w:p>
            <w:pPr>
              <w:spacing w:before="20" w:after="20"/>
            </w:pPr>
            <w:r>
              <w:rPr>
                <w:rFonts w:ascii="游ゴシック" w:hAnsi="游ゴシック" w:eastAsia="游ゴシック"/>
                <w:b w:val="0"/>
                <w:i w:val="0"/>
                <w:sz w:val="17"/>
              </w:rPr>
              <w:t>企画（公共交通）</w:t>
            </w:r>
          </w:p>
        </w:tc>
        <w:tc>
          <w:tcPr>
            <w:tcW w:type="dxa" w:w="4888"/>
            <w:vAlign w:val="center"/>
          </w:tcPr>
          <w:p>
            <w:pPr>
              <w:spacing w:before="20" w:after="20"/>
            </w:pPr>
            <w:r>
              <w:rPr>
                <w:rFonts w:ascii="游ゴシック" w:hAnsi="游ゴシック" w:eastAsia="游ゴシック"/>
                <w:b w:val="0"/>
                <w:i w:val="0"/>
                <w:sz w:val="17"/>
              </w:rPr>
              <w:t>町営バス・デマンド型交通、移送・外出支援</w:t>
            </w:r>
          </w:p>
        </w:tc>
        <w:tc>
          <w:tcPr>
            <w:tcW w:type="dxa" w:w="2749"/>
            <w:vAlign w:val="center"/>
          </w:tcPr>
          <w:p>
            <w:pPr>
              <w:spacing w:before="20" w:after="20"/>
            </w:pPr>
            <w:r>
              <w:rPr>
                <w:rFonts w:ascii="游ゴシック" w:hAnsi="游ゴシック" w:eastAsia="游ゴシック"/>
                <w:b w:val="0"/>
                <w:i w:val="0"/>
                <w:sz w:val="17"/>
              </w:rPr>
              <w:t>第1章5、第5章 基本目標2⑤</w:t>
            </w:r>
          </w:p>
        </w:tc>
      </w:tr>
    </w:tbl>
    <w:p>
      <w:pPr>
        <w:spacing w:after="40"/>
      </w:pPr>
    </w:p>
    <w:p>
      <w:pPr>
        <w:spacing w:before="60" w:after="60"/>
      </w:pPr>
      <w:r>
        <w:rPr>
          <w:rFonts w:ascii="游ゴシック" w:hAnsi="游ゴシック" w:eastAsia="游ゴシック"/>
          <w:b/>
          <w:i w:val="0"/>
          <w:sz w:val="21"/>
        </w:rPr>
        <w:t>あわせて、介護保険法第117条第14項の規定により、本計画のうちサービスの種類ごとの量の見込み・地域支援事業の量の見込み及び中長期的な推計（第6章2・第6章4・第6章11）を定め、又は変更しようとするときは、あらかじめ福島県の意見を聴きます。</w:t>
      </w:r>
      <w:r>
        <w:rPr>
          <w:rFonts w:ascii="游ゴシック" w:hAnsi="游ゴシック" w:eastAsia="游ゴシック"/>
          <w:b w:val="0"/>
          <w:i w:val="0"/>
          <w:sz w:val="21"/>
        </w:rPr>
        <w:t>改正前から量の見込みについて意見を聴くことが求められており、</w:t>
      </w:r>
      <w:r>
        <w:rPr>
          <w:rFonts w:ascii="游ゴシック" w:hAnsi="游ゴシック" w:eastAsia="游ゴシック"/>
          <w:b/>
          <w:i w:val="0"/>
          <w:sz w:val="21"/>
        </w:rPr>
        <w:t>令和8年法律第51号により中長期的な推計が対象に加わりました</w:t>
      </w:r>
      <w:r>
        <w:rPr>
          <w:rFonts w:ascii="游ゴシック" w:hAnsi="游ゴシック" w:eastAsia="游ゴシック"/>
          <w:b w:val="0"/>
          <w:i w:val="0"/>
          <w:sz w:val="21"/>
        </w:rPr>
        <w:t>（令和9年4月1日施行）。また、計画を定め、又は変更したときは、遅滞なく県に提出します。</w:t>
      </w:r>
    </w:p>
    <w:p>
      <w:pPr>
        <w:spacing w:before="60" w:after="60"/>
      </w:pPr>
      <w:r>
        <w:rPr>
          <w:rFonts w:ascii="游ゴシック" w:hAnsi="游ゴシック" w:eastAsia="游ゴシック"/>
          <w:b/>
          <w:i w:val="0"/>
          <w:sz w:val="21"/>
        </w:rPr>
        <w:t>意見を聴く時期と様式は県に確認しています（【町データ待ち】）。</w:t>
      </w:r>
      <w:r>
        <w:rPr>
          <w:rFonts w:ascii="游ゴシック" w:hAnsi="游ゴシック" w:eastAsia="游ゴシック"/>
          <w:b w:val="0"/>
          <w:i w:val="0"/>
          <w:sz w:val="21"/>
        </w:rPr>
        <w:t>確認のうえ、下表の策定の経過に加えます。</w:t>
      </w:r>
    </w:p>
    <w:p>
      <w:pPr>
        <w:keepNext/>
        <w:spacing w:before="200" w:after="40"/>
      </w:pPr>
      <w:r>
        <w:rPr>
          <w:rFonts w:ascii="游ゴシック" w:hAnsi="游ゴシック" w:eastAsia="游ゴシック"/>
          <w:b/>
          <w:i w:val="0"/>
          <w:color w:val="1F4D78"/>
          <w:sz w:val="22"/>
        </w:rPr>
        <w:t>【表15】第1章7　計画の策定体制（2）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86"/>
        <w:gridCol w:w="6665"/>
      </w:tblGrid>
      <w:tr>
        <w:tc>
          <w:tcPr>
            <w:tcW w:type="dxa" w:w="30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66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86"/>
            <w:vAlign w:val="center"/>
          </w:tcPr>
          <w:p>
            <w:pPr>
              <w:spacing w:before="20" w:after="20"/>
            </w:pPr>
            <w:r>
              <w:rPr>
                <w:rFonts w:ascii="游ゴシック" w:hAnsi="游ゴシック" w:eastAsia="游ゴシック"/>
                <w:b w:val="0"/>
                <w:i w:val="0"/>
                <w:sz w:val="17"/>
              </w:rPr>
              <w:t>小野町高齢者福祉サービス推進協議会</w:t>
            </w:r>
          </w:p>
        </w:tc>
        <w:tc>
          <w:tcPr>
            <w:tcW w:type="dxa" w:w="6665"/>
            <w:vAlign w:val="center"/>
          </w:tcPr>
          <w:p>
            <w:pPr>
              <w:spacing w:before="20" w:after="20"/>
            </w:pPr>
            <w:r>
              <w:rPr>
                <w:rFonts w:ascii="游ゴシック" w:hAnsi="游ゴシック" w:eastAsia="游ゴシック"/>
                <w:b w:val="0"/>
                <w:i w:val="0"/>
                <w:sz w:val="17"/>
              </w:rPr>
              <w:t>開催回数・時期 【決定後に記載】</w:t>
            </w:r>
          </w:p>
        </w:tc>
      </w:tr>
      <w:tr>
        <w:tc>
          <w:tcPr>
            <w:tcW w:type="dxa" w:w="3086"/>
            <w:vAlign w:val="center"/>
          </w:tcPr>
          <w:p>
            <w:pPr>
              <w:spacing w:before="20" w:after="20"/>
            </w:pPr>
            <w:r>
              <w:rPr>
                <w:rFonts w:ascii="游ゴシック" w:hAnsi="游ゴシック" w:eastAsia="游ゴシック"/>
                <w:b w:val="0"/>
                <w:i w:val="0"/>
                <w:sz w:val="17"/>
              </w:rPr>
              <w:t>庁内の検討体制</w:t>
            </w:r>
          </w:p>
        </w:tc>
        <w:tc>
          <w:tcPr>
            <w:tcW w:type="dxa" w:w="6665"/>
            <w:vAlign w:val="center"/>
          </w:tcPr>
          <w:p>
            <w:pPr>
              <w:spacing w:before="20" w:after="20"/>
            </w:pPr>
            <w:r>
              <w:rPr>
                <w:rFonts w:ascii="游ゴシック" w:hAnsi="游ゴシック" w:eastAsia="游ゴシック"/>
                <w:b w:val="0"/>
                <w:i w:val="0"/>
                <w:sz w:val="17"/>
              </w:rPr>
              <w:t>会議の名称・構成・開催予定 【決定後に記載】</w:t>
            </w:r>
          </w:p>
        </w:tc>
      </w:tr>
      <w:tr>
        <w:tc>
          <w:tcPr>
            <w:tcW w:type="dxa" w:w="3086"/>
            <w:vAlign w:val="center"/>
          </w:tcPr>
          <w:p>
            <w:pPr>
              <w:spacing w:before="20" w:after="20"/>
            </w:pPr>
            <w:r>
              <w:rPr>
                <w:rFonts w:ascii="游ゴシック" w:hAnsi="游ゴシック" w:eastAsia="游ゴシック"/>
                <w:b/>
                <w:i w:val="0"/>
                <w:sz w:val="17"/>
              </w:rPr>
              <w:t>福島県への意見聴取（介護保険法第117条第14項）</w:t>
            </w:r>
          </w:p>
        </w:tc>
        <w:tc>
          <w:tcPr>
            <w:tcW w:type="dxa" w:w="6665"/>
            <w:vAlign w:val="center"/>
          </w:tcPr>
          <w:p>
            <w:pPr>
              <w:spacing w:before="20" w:after="20"/>
            </w:pPr>
            <w:r>
              <w:rPr>
                <w:rFonts w:ascii="游ゴシック" w:hAnsi="游ゴシック" w:eastAsia="游ゴシック"/>
                <w:b w:val="0"/>
                <w:i w:val="0"/>
                <w:sz w:val="17"/>
              </w:rPr>
              <w:t>時期 【町データ待ち】</w:t>
            </w:r>
          </w:p>
        </w:tc>
      </w:tr>
      <w:tr>
        <w:tc>
          <w:tcPr>
            <w:tcW w:type="dxa" w:w="3086"/>
            <w:vAlign w:val="center"/>
          </w:tcPr>
          <w:p>
            <w:pPr>
              <w:keepNext/>
              <w:spacing w:before="20" w:after="20"/>
            </w:pPr>
            <w:r>
              <w:rPr>
                <w:rFonts w:ascii="游ゴシック" w:hAnsi="游ゴシック" w:eastAsia="游ゴシック"/>
                <w:b w:val="0"/>
                <w:i w:val="0"/>
                <w:sz w:val="17"/>
              </w:rPr>
              <w:t>令和7年度調査</w:t>
            </w:r>
          </w:p>
        </w:tc>
        <w:tc>
          <w:tcPr>
            <w:tcW w:type="dxa" w:w="6665"/>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3086"/>
            <w:vAlign w:val="center"/>
          </w:tcPr>
          <w:p>
            <w:pPr>
              <w:spacing w:before="20" w:after="20"/>
            </w:pPr>
            <w:r>
              <w:rPr>
                <w:rFonts w:ascii="游ゴシック" w:hAnsi="游ゴシック" w:eastAsia="游ゴシック"/>
                <w:b w:val="0"/>
                <w:i w:val="0"/>
                <w:sz w:val="17"/>
              </w:rPr>
              <w:t>パブリックコメント</w:t>
            </w:r>
          </w:p>
        </w:tc>
        <w:tc>
          <w:tcPr>
            <w:tcW w:type="dxa" w:w="6665"/>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【表16】第2章1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【表17】第2章1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【表18】第2章2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【表19】第2章2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【表20】第2章2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【表21】第2章3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【表22】第2章3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【表23】第2章3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【表24】第2章3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【表25】第2章3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【表26】第2章3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【表27】第2章3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【表28】第2章4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【表29】第2章4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第10期に取り崩せる額は基金残高によりますが、残高そのものは受領した資料にないため確認中です。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spacing w:before="40" w:after="160"/>
        <w:ind w:left="113"/>
      </w:pPr>
      <w:r>
        <w:rPr>
          <w:rFonts w:ascii="游ゴシック" w:hAnsi="游ゴシック" w:eastAsia="游ゴシック"/>
          <w:b/>
          <w:i w:val="0"/>
          <w:sz w:val="17"/>
        </w:rPr>
        <w:t>※ 第9期計画（令和6年3月）第4章（１）③は、「老人ホームやサービス付き高齢者向け住宅は…町では県や近隣市町村との連携を強化し、施設の設置状況や介護サービスの提供状況などの把握に努めます」としていました。</w:t>
      </w:r>
      <w:r>
        <w:rPr>
          <w:rFonts w:ascii="游ゴシック" w:hAnsi="游ゴシック" w:eastAsia="游ゴシック"/>
          <w:b/>
          <w:i w:val="0"/>
          <w:sz w:val="17"/>
        </w:rPr>
        <w:t>把握に努める段階であったものが、改正により勘案しなければならないものになります。</w:t>
      </w:r>
      <w:r>
        <w:rPr>
          <w:rFonts w:ascii="游ゴシック" w:hAnsi="游ゴシック" w:eastAsia="游ゴシック"/>
          <w:b w:val="0"/>
          <w:i w:val="0"/>
          <w:sz w:val="17"/>
        </w:rPr>
        <w:t>入居定員総数は、老人福祉法第29条第1項の届出と高齢者住まい法の登録をいずれも</w:t>
      </w:r>
      <w:r>
        <w:rPr>
          <w:rFonts w:ascii="游ゴシック" w:hAnsi="游ゴシック" w:eastAsia="游ゴシック"/>
          <w:b/>
          <w:i w:val="0"/>
          <w:sz w:val="17"/>
        </w:rPr>
        <w:t>県</w:t>
      </w:r>
      <w:r>
        <w:rPr>
          <w:rFonts w:ascii="游ゴシック" w:hAnsi="游ゴシック" w:eastAsia="游ゴシック"/>
          <w:b w:val="0"/>
          <w:i w:val="0"/>
          <w:sz w:val="17"/>
        </w:rPr>
        <w:t>が受けるため、県への照会が要ります（【町データ待ち】）。</w:t>
      </w:r>
    </w:p>
    <w:p>
      <w:pPr>
        <w:keepNext/>
        <w:spacing w:before="200" w:after="40"/>
      </w:pPr>
      <w:r>
        <w:rPr>
          <w:rFonts w:ascii="游ゴシック" w:hAnsi="游ゴシック" w:eastAsia="游ゴシック"/>
          <w:b/>
          <w:i w:val="0"/>
          <w:color w:val="1F4D78"/>
          <w:sz w:val="22"/>
        </w:rPr>
        <w:t>【表30】第2章5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【表31】第2章5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【表32】第2章5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【表33】第2章5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【表34】第2章5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【表35】第2章6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【表36】第2章6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【表37】第2章6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335</w:t>
            </w:r>
          </w:p>
        </w:tc>
        <w:tc>
          <w:tcPr>
            <w:tcW w:type="dxa" w:w="1756"/>
            <w:vAlign w:val="center"/>
          </w:tcPr>
          <w:p>
            <w:pPr>
              <w:keepNext/>
              <w:spacing w:before="20" w:after="20"/>
            </w:pPr>
            <w:r>
              <w:rPr>
                <w:rFonts w:ascii="游ゴシック" w:hAnsi="游ゴシック" w:eastAsia="游ゴシック"/>
                <w:b/>
                <w:i w:val="0"/>
                <w:sz w:val="17"/>
              </w:rPr>
              <w:t>335</w:t>
            </w:r>
          </w:p>
        </w:tc>
        <w:tc>
          <w:tcPr>
            <w:tcW w:type="dxa" w:w="1859"/>
            <w:vAlign w:val="center"/>
          </w:tcPr>
          <w:p>
            <w:pPr>
              <w:keepNext/>
              <w:spacing w:before="20" w:after="20"/>
            </w:pPr>
            <w:r>
              <w:rPr>
                <w:rFonts w:ascii="游ゴシック" w:hAnsi="游ゴシック" w:eastAsia="游ゴシック"/>
                <w:b/>
                <w:i w:val="0"/>
                <w:sz w:val="17"/>
              </w:rPr>
              <w:t>333</w:t>
            </w:r>
          </w:p>
        </w:tc>
        <w:tc>
          <w:tcPr>
            <w:tcW w:type="dxa" w:w="1859"/>
            <w:vAlign w:val="center"/>
          </w:tcPr>
          <w:p>
            <w:pPr>
              <w:keepNext/>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【表38】第2章7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【表39】第2章7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【表40】第2章7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【表41】第3章1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【表42】第3章2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【表43】第3章3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【表44】第3章3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【表45】第3章3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【表46】第3章4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【表47】第4章1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spacing w:before="60" w:after="60"/>
      </w:pPr>
      <w:r>
        <w:rPr>
          <w:rFonts w:ascii="游ゴシック" w:hAnsi="游ゴシック" w:eastAsia="游ゴシック"/>
          <w:b/>
          <w:i w:val="0"/>
          <w:sz w:val="21"/>
        </w:rPr>
        <w:t>本計画が目指す「本町の地域包括ケアの姿」は、次のとおりです。</w:t>
      </w:r>
    </w:p>
    <w:p>
      <w:pPr>
        <w:spacing w:before="60" w:after="60"/>
      </w:pPr>
      <w:r>
        <w:rPr>
          <w:rFonts w:ascii="游ゴシック" w:hAnsi="游ゴシック" w:eastAsia="游ゴシック"/>
          <w:b w:val="0"/>
          <w:i w:val="0"/>
          <w:sz w:val="21"/>
        </w:rPr>
        <w:t>町全域を1つの日常生活圏域として（第1章5）、医療、介護、介護予防、住まい及び自立した日常生活の支援が包括的に確保され、高齢者が要介護状態や認知症になっても、住み慣れた地域でその有する能力に応じて自分らしい暮らしを続けられる状態をいいます。</w:t>
      </w:r>
      <w:r>
        <w:rPr>
          <w:rFonts w:ascii="游ゴシック" w:hAnsi="游ゴシック" w:eastAsia="游ゴシック"/>
          <w:b/>
          <w:i w:val="0"/>
          <w:sz w:val="21"/>
        </w:rPr>
        <w:t>令和22年に向けて支える人の数が減るなかで、少ない担い手で必要なサービスを届けられる体制を保つことを含みます。</w:t>
      </w:r>
      <w:r>
        <w:rPr>
          <w:rFonts w:ascii="游ゴシック" w:hAnsi="游ゴシック" w:eastAsia="游ゴシック"/>
          <w:b w:val="0"/>
          <w:i w:val="0"/>
          <w:sz w:val="21"/>
        </w:rPr>
        <w:t>その見通しを第6章11に、体制を確保する施策を第6章12に示します。</w:t>
      </w:r>
    </w:p>
    <w:p>
      <w:pPr>
        <w:spacing w:before="40" w:after="160"/>
        <w:ind w:left="113"/>
      </w:pPr>
      <w:r>
        <w:rPr>
          <w:rFonts w:ascii="游ゴシック" w:hAnsi="游ゴシック" w:eastAsia="游ゴシック"/>
          <w:b w:val="0"/>
          <w:i w:val="0"/>
          <w:sz w:val="17"/>
        </w:rPr>
        <w:t>※ 地域包括ケアシステムの定義は、地域における医療及び介護の総合的な確保の促進に関する法律第2条第1項による（e-Gov 法令API 令和8年10月20日取得で確認）。</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【表48】第4章2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【表49】第4章2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【表50】第4章3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【表51】第4章3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spacing w:before="60" w:after="60"/>
      </w:pPr>
      <w:r>
        <w:rPr>
          <w:rFonts w:ascii="游ゴシック" w:hAnsi="游ゴシック" w:eastAsia="游ゴシック"/>
          <w:b/>
          <w:i w:val="0"/>
          <w:sz w:val="21"/>
        </w:rPr>
        <w:t>保健・認知症の分野の関連計画との役割分担は、次のとおりです。</w:t>
      </w:r>
    </w:p>
    <w:p>
      <w:pPr>
        <w:keepNext/>
        <w:spacing w:before="200" w:after="40"/>
      </w:pPr>
      <w:r>
        <w:rPr>
          <w:rFonts w:ascii="游ゴシック" w:hAnsi="游ゴシック" w:eastAsia="游ゴシック"/>
          <w:b/>
          <w:i w:val="0"/>
          <w:color w:val="1F4D78"/>
          <w:sz w:val="22"/>
        </w:rPr>
        <w:t>【表52】第4章3　関連計画との役割分担（3）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92"/>
        <w:gridCol w:w="3161"/>
        <w:gridCol w:w="3998"/>
      </w:tblGrid>
      <w:tr>
        <w:tc>
          <w:tcPr>
            <w:tcW w:type="dxa" w:w="2592"/>
            <w:shd w:val="clear" w:fill="1F3864"/>
            <w:vAlign w:val="center"/>
          </w:tcPr>
          <w:p>
            <w:pPr>
              <w:spacing w:before="20" w:after="20"/>
              <w:jc w:val="center"/>
            </w:pPr>
            <w:r>
              <w:rPr>
                <w:rFonts w:ascii="游ゴシック" w:hAnsi="游ゴシック" w:eastAsia="游ゴシック"/>
                <w:b/>
                <w:i w:val="0"/>
                <w:color w:val="FFFFFF"/>
                <w:sz w:val="17"/>
              </w:rPr>
              <w:t>関連計画・事業</w:t>
            </w:r>
          </w:p>
        </w:tc>
        <w:tc>
          <w:tcPr>
            <w:tcW w:type="dxa" w:w="31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99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592"/>
            <w:vAlign w:val="center"/>
          </w:tcPr>
          <w:p>
            <w:pPr>
              <w:spacing w:before="20" w:after="20"/>
            </w:pPr>
            <w:r>
              <w:rPr>
                <w:rFonts w:ascii="游ゴシック" w:hAnsi="游ゴシック" w:eastAsia="游ゴシック"/>
                <w:b w:val="0"/>
                <w:i w:val="0"/>
                <w:sz w:val="17"/>
              </w:rPr>
              <w:t>市町村健康増進計画</w:t>
            </w:r>
          </w:p>
        </w:tc>
        <w:tc>
          <w:tcPr>
            <w:tcW w:type="dxa" w:w="3161"/>
            <w:vAlign w:val="center"/>
          </w:tcPr>
          <w:p>
            <w:pPr>
              <w:spacing w:before="20" w:after="20"/>
            </w:pPr>
            <w:r>
              <w:rPr>
                <w:rFonts w:ascii="游ゴシック" w:hAnsi="游ゴシック" w:eastAsia="游ゴシック"/>
                <w:b w:val="0"/>
                <w:i w:val="0"/>
                <w:sz w:val="17"/>
              </w:rPr>
              <w:t>健康増進法第8条第2項（努力義務）</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生活習慣病の予防と健康づくりの全般は同計画が担う。本計画は、フレイル予防・介護予防につながる部分に絞る（第5章 基本目標1①・②）</w:t>
            </w:r>
          </w:p>
        </w:tc>
      </w:tr>
      <w:tr>
        <w:tc>
          <w:tcPr>
            <w:tcW w:type="dxa" w:w="2592"/>
            <w:vAlign w:val="center"/>
          </w:tcPr>
          <w:p>
            <w:pPr>
              <w:spacing w:before="20" w:after="20"/>
            </w:pPr>
            <w:r>
              <w:rPr>
                <w:rFonts w:ascii="游ゴシック" w:hAnsi="游ゴシック" w:eastAsia="游ゴシック"/>
                <w:b w:val="0"/>
                <w:i w:val="0"/>
                <w:sz w:val="17"/>
              </w:rPr>
              <w:t>特定健康診査等実施計画・データヘルス計画（国民健康保険）</w:t>
            </w:r>
          </w:p>
        </w:tc>
        <w:tc>
          <w:tcPr>
            <w:tcW w:type="dxa" w:w="3161"/>
            <w:vAlign w:val="center"/>
          </w:tcPr>
          <w:p>
            <w:pPr>
              <w:spacing w:before="20" w:after="20"/>
            </w:pPr>
            <w:r>
              <w:rPr>
                <w:rFonts w:ascii="游ゴシック" w:hAnsi="游ゴシック" w:eastAsia="游ゴシック"/>
                <w:b w:val="0"/>
                <w:i w:val="0"/>
                <w:sz w:val="17"/>
              </w:rPr>
              <w:t>高齢者の医療の確保に関する法律第19条第1項、国民健康保険法第82条第1項</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特定健診の受診勧奨と生活習慣病の重症化予防は同計画が担う。本計画は、受診率を成果指標として参照する（第5章 基本目標1①）</w:t>
            </w:r>
          </w:p>
        </w:tc>
      </w:tr>
      <w:tr>
        <w:tc>
          <w:tcPr>
            <w:tcW w:type="dxa" w:w="2592"/>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3161"/>
            <w:vAlign w:val="center"/>
          </w:tcPr>
          <w:p>
            <w:pPr>
              <w:keepNext/>
              <w:spacing w:before="20" w:after="20"/>
            </w:pPr>
            <w:r>
              <w:rPr>
                <w:rFonts w:ascii="游ゴシック" w:hAnsi="游ゴシック" w:eastAsia="游ゴシック"/>
                <w:b w:val="0"/>
                <w:i w:val="0"/>
                <w:sz w:val="17"/>
              </w:rPr>
              <w:t>高齢者の医療の確保に関する法律第125条の2第1項（後期高齢者医療広域連合からの委託）</w:t>
            </w:r>
          </w:p>
        </w:tc>
        <w:tc>
          <w:tcPr>
            <w:tcW w:type="dxa" w:w="3998"/>
            <w:vAlign w:val="center"/>
          </w:tcPr>
          <w:p>
            <w:pPr>
              <w:keepNext/>
              <w:spacing w:before="20" w:after="20"/>
            </w:pPr>
            <w:r>
              <w:rPr>
                <w:rFonts w:ascii="游ゴシック" w:hAnsi="游ゴシック" w:eastAsia="游ゴシック"/>
                <w:b/>
                <w:i w:val="0"/>
                <w:sz w:val="17"/>
              </w:rPr>
              <w:t>本計画で具体化。</w:t>
            </w:r>
            <w:r>
              <w:rPr>
                <w:rFonts w:ascii="游ゴシック" w:hAnsi="游ゴシック" w:eastAsia="游ゴシック"/>
                <w:b w:val="0"/>
                <w:i w:val="0"/>
                <w:sz w:val="17"/>
              </w:rPr>
              <w:t>ハイリスク者への個別支援と、通いの場等への専門職の関与（第5章 基本目標1①・②）</w:t>
            </w:r>
          </w:p>
        </w:tc>
      </w:tr>
      <w:tr>
        <w:tc>
          <w:tcPr>
            <w:tcW w:type="dxa" w:w="2592"/>
            <w:vAlign w:val="center"/>
          </w:tcPr>
          <w:p>
            <w:pPr>
              <w:spacing w:before="20" w:after="20"/>
            </w:pPr>
            <w:r>
              <w:rPr>
                <w:rFonts w:ascii="游ゴシック" w:hAnsi="游ゴシック" w:eastAsia="游ゴシック"/>
                <w:b w:val="0"/>
                <w:i w:val="0"/>
                <w:sz w:val="17"/>
              </w:rPr>
              <w:t>市町村認知症施策推進計画</w:t>
            </w:r>
          </w:p>
        </w:tc>
        <w:tc>
          <w:tcPr>
            <w:tcW w:type="dxa" w:w="3161"/>
            <w:vAlign w:val="center"/>
          </w:tcPr>
          <w:p>
            <w:pPr>
              <w:spacing w:before="20" w:after="20"/>
            </w:pPr>
            <w:r>
              <w:rPr>
                <w:rFonts w:ascii="游ゴシック" w:hAnsi="游ゴシック" w:eastAsia="游ゴシック"/>
                <w:b w:val="0"/>
                <w:i w:val="0"/>
                <w:sz w:val="17"/>
              </w:rPr>
              <w:t>共生社会の実現を推進するための認知症基本法第13条第1項（努力義務）</w:t>
            </w:r>
          </w:p>
        </w:tc>
        <w:tc>
          <w:tcPr>
            <w:tcW w:type="dxa" w:w="3998"/>
            <w:vAlign w:val="center"/>
          </w:tcPr>
          <w:p>
            <w:pPr>
              <w:spacing w:before="20" w:after="20"/>
            </w:pPr>
            <w:r>
              <w:rPr>
                <w:rFonts w:ascii="游ゴシック" w:hAnsi="游ゴシック" w:eastAsia="游ゴシック"/>
                <w:b/>
                <w:i w:val="0"/>
                <w:sz w:val="17"/>
              </w:rPr>
              <w:t>本計画に包含。</w:t>
            </w:r>
            <w:r>
              <w:rPr>
                <w:rFonts w:ascii="游ゴシック" w:hAnsi="游ゴシック" w:eastAsia="游ゴシック"/>
                <w:b w:val="0"/>
                <w:i w:val="0"/>
                <w:sz w:val="17"/>
              </w:rPr>
              <w:t>第5章 基本目標2③に位置づける</w:t>
            </w:r>
          </w:p>
        </w:tc>
      </w:tr>
    </w:tbl>
    <w:p>
      <w:pPr>
        <w:spacing w:after="40"/>
      </w:pPr>
    </w:p>
    <w:p>
      <w:pPr>
        <w:spacing w:before="40" w:after="160"/>
        <w:ind w:left="113"/>
      </w:pPr>
      <w:r>
        <w:rPr>
          <w:rFonts w:ascii="游ゴシック" w:hAnsi="游ゴシック" w:eastAsia="游ゴシック"/>
          <w:b w:val="0"/>
          <w:i w:val="0"/>
          <w:sz w:val="17"/>
        </w:rPr>
        <w:t>※ 本町の健康増進計画・データヘルス計画・特定健康診査等実施計画の計画名と計画期間は【町データ待ち】。※ 条文は e-Gov 法令API（令和8年10月20日取得）で確認した。</w:t>
      </w:r>
    </w:p>
    <w:p>
      <w:pPr>
        <w:spacing w:after="120"/>
      </w:pPr>
    </w:p>
    <w:p>
      <w:pPr>
        <w:pStyle w:val="Heading3"/>
        <w:keepNext/>
        <w:spacing w:before="180" w:after="80"/>
      </w:pPr>
      <w:r>
        <w:rPr>
          <w:rFonts w:ascii="游ゴシック" w:hAnsi="游ゴシック" w:eastAsia="游ゴシック"/>
          <w:b/>
          <w:i w:val="0"/>
          <w:color w:val="1F4D78"/>
          <w:sz w:val="22"/>
        </w:rPr>
        <w:t>（参考）小規模市町村地域支援連携協働体制整備事業（令和9年4月1日新設）</w:t>
      </w:r>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に該当するもの」をいいます（同条第1項）。該当する市町村は、包括的な支援体制の整備を促進するため、厚生労働省令で定めるところにより、この事業を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この事業は、分野ごとに別々に行っている事業を「一体のものとして実施する」点に要点があります</w:t>
      </w:r>
      <w:r>
        <w:rPr>
          <w:rFonts w:ascii="游ゴシック" w:hAnsi="游ゴシック" w:eastAsia="游ゴシック"/>
          <w:b w:val="0"/>
          <w:i w:val="0"/>
          <w:sz w:val="21"/>
        </w:rPr>
        <w:t>（同条第2項）。一体的に行う事業は次のとおりで、</w:t>
      </w:r>
      <w:r>
        <w:rPr>
          <w:rFonts w:ascii="游ゴシック" w:hAnsi="游ゴシック" w:eastAsia="游ゴシック"/>
          <w:b/>
          <w:i w:val="0"/>
          <w:sz w:val="21"/>
        </w:rPr>
        <w:t>高齢者分野の事業がそのまま対象に含まれています。</w:t>
      </w:r>
    </w:p>
    <w:p>
      <w:pPr>
        <w:keepNext/>
        <w:spacing w:before="200" w:after="40"/>
      </w:pPr>
      <w:r>
        <w:rPr>
          <w:rFonts w:ascii="游ゴシック" w:hAnsi="游ゴシック" w:eastAsia="游ゴシック"/>
          <w:b/>
          <w:i w:val="0"/>
          <w:color w:val="1F4D78"/>
          <w:sz w:val="22"/>
        </w:rPr>
        <w:t>【表53】第4章3　関連計画との役割分担（4）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一体的に行う事業（4分野すべてを行うもの）</w:t>
            </w:r>
          </w:p>
        </w:tc>
      </w:tr>
      <w:tr>
        <w:tc>
          <w:tcPr>
            <w:tcW w:type="dxa" w:w="1928"/>
            <w:vAlign w:val="center"/>
          </w:tcPr>
          <w:p>
            <w:pPr>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t>（第2項第1号）</w:t>
            </w:r>
          </w:p>
        </w:tc>
        <w:tc>
          <w:tcPr>
            <w:tcW w:type="dxa" w:w="7824"/>
            <w:vAlign w:val="center"/>
          </w:tcPr>
          <w:p>
            <w:pPr>
              <w:spacing w:before="20" w:after="20"/>
            </w:pPr>
            <w:r>
              <w:rPr>
                <w:rFonts w:ascii="游ゴシック" w:hAnsi="游ゴシック" w:eastAsia="游ゴシック"/>
                <w:b/>
                <w:i w:val="0"/>
                <w:sz w:val="17"/>
              </w:rPr>
              <w:t>介護保険法第115条の45第2項第1号から第3号まで</w:t>
            </w:r>
            <w:r>
              <w:rPr>
                <w:rFonts w:ascii="游ゴシック" w:hAnsi="游ゴシック" w:eastAsia="游ゴシック"/>
                <w:b w:val="0"/>
                <w:i w:val="0"/>
                <w:sz w:val="17"/>
              </w:rPr>
              <w:t>（総合相談支援・権利擁護・包括的継続的ケアマネジメント支援＝</w:t>
            </w:r>
            <w:r>
              <w:rPr>
                <w:rFonts w:ascii="游ゴシック" w:hAnsi="游ゴシック" w:eastAsia="游ゴシック"/>
                <w:b/>
                <w:i w:val="0"/>
                <w:sz w:val="17"/>
              </w:rPr>
              <w:t>地域包括支援センターの事業</w:t>
            </w:r>
            <w:r>
              <w:rPr>
                <w:rFonts w:ascii="游ゴシック" w:hAnsi="游ゴシック" w:eastAsia="游ゴシック"/>
                <w:b w:val="0"/>
                <w:i w:val="0"/>
                <w:sz w:val="17"/>
              </w:rPr>
              <w:t>）／障害者総合支援法第77条第1項第3号（相談支援）／子ども・子育て支援法第59条第1号／生活困窮者自立支援法第3条第2項各号</w:t>
            </w:r>
          </w:p>
        </w:tc>
      </w:tr>
      <w:tr>
        <w:tc>
          <w:tcPr>
            <w:tcW w:type="dxa" w:w="1928"/>
            <w:vAlign w:val="center"/>
          </w:tcPr>
          <w:p>
            <w:pPr>
              <w:keepNext/>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t>（第2項第3号）</w:t>
            </w:r>
          </w:p>
        </w:tc>
        <w:tc>
          <w:tcPr>
            <w:tcW w:type="dxa" w:w="7824"/>
            <w:vAlign w:val="center"/>
          </w:tcPr>
          <w:p>
            <w:pPr>
              <w:keepNext/>
              <w:spacing w:before="20" w:after="20"/>
            </w:pPr>
            <w:r>
              <w:rPr>
                <w:rFonts w:ascii="游ゴシック" w:hAnsi="游ゴシック" w:eastAsia="游ゴシック"/>
                <w:b/>
                <w:i w:val="0"/>
                <w:sz w:val="17"/>
              </w:rPr>
              <w:t>介護保険法第115条の45第1項第2号のうち厚生労働大臣が定めるもの</w:t>
            </w:r>
            <w:r>
              <w:rPr>
                <w:rFonts w:ascii="游ゴシック" w:hAnsi="游ゴシック" w:eastAsia="游ゴシック"/>
                <w:b w:val="0"/>
                <w:i w:val="0"/>
                <w:sz w:val="17"/>
              </w:rPr>
              <w:t>（一般介護予防事業の一部）／</w:t>
            </w:r>
            <w:r>
              <w:rPr>
                <w:rFonts w:ascii="游ゴシック" w:hAnsi="游ゴシック" w:eastAsia="游ゴシック"/>
                <w:b/>
                <w:i w:val="0"/>
                <w:sz w:val="17"/>
              </w:rPr>
              <w:t>同条第2項第5号（生活支援体制整備事業）</w:t>
            </w:r>
            <w:r>
              <w:rPr>
                <w:rFonts w:ascii="游ゴシック" w:hAnsi="游ゴシック" w:eastAsia="游ゴシック"/>
                <w:b w:val="0"/>
                <w:i w:val="0"/>
                <w:sz w:val="17"/>
              </w:rPr>
              <w:t>／障害者総合支援法第77条第1項第9号／子ども・子育て支援法第59条第9号</w:t>
            </w:r>
          </w:p>
        </w:tc>
      </w:tr>
      <w:tr>
        <w:tc>
          <w:tcPr>
            <w:tcW w:type="dxa" w:w="1928"/>
            <w:vAlign w:val="center"/>
          </w:tcPr>
          <w:p>
            <w:pPr>
              <w:spacing w:before="20" w:after="20"/>
            </w:pPr>
            <w:r>
              <w:rPr>
                <w:rFonts w:ascii="游ゴシック" w:hAnsi="游ゴシック" w:eastAsia="游ゴシック"/>
                <w:b/>
                <w:i w:val="0"/>
                <w:sz w:val="17"/>
              </w:rPr>
              <w:t>連携・協働の促進</w:t>
            </w:r>
            <w:r>
              <w:rPr>
                <w:rFonts w:ascii="游ゴシック" w:hAnsi="游ゴシック" w:eastAsia="游ゴシック"/>
                <w:b w:val="0"/>
                <w:i w:val="0"/>
                <w:sz w:val="17"/>
              </w:rPr>
              <w:t>（第2項第2号）</w:t>
            </w:r>
          </w:p>
        </w:tc>
        <w:tc>
          <w:tcPr>
            <w:tcW w:type="dxa" w:w="7824"/>
            <w:vAlign w:val="center"/>
          </w:tcPr>
          <w:p>
            <w:pPr>
              <w:spacing w:before="20" w:after="20"/>
            </w:pPr>
            <w:r>
              <w:rPr>
                <w:rFonts w:ascii="游ゴシック" w:hAnsi="游ゴシック" w:eastAsia="游ゴシック"/>
                <w:b w:val="0"/>
                <w:i w:val="0"/>
                <w:sz w:val="17"/>
              </w:rPr>
              <w:t>地域住民等と支援関係機関の相互の連携又は協働の促進のための事業</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 xml:space="preserve"> 社会福祉法施行規則について法令APIで確かめたところ、</w:t>
      </w:r>
      <w:r>
        <w:rPr>
          <w:rFonts w:ascii="游ゴシック" w:hAnsi="游ゴシック" w:eastAsia="游ゴシック"/>
          <w:b/>
          <w:i w:val="0"/>
          <w:sz w:val="21"/>
        </w:rPr>
        <w:t>「小規模市町村」の語を含む条は1つもありません。</w:t>
      </w:r>
      <w:r>
        <w:rPr>
          <w:rFonts w:ascii="游ゴシック" w:hAnsi="游ゴシック" w:eastAsia="游ゴシック"/>
          <w:b w:val="0"/>
          <w:i w:val="0"/>
          <w:sz w:val="21"/>
        </w:rPr>
        <w:t xml:space="preserve"> 該当し、かつ本事業を行う場合は、</w:t>
      </w:r>
      <w:r>
        <w:rPr>
          <w:rFonts w:ascii="游ゴシック" w:hAnsi="游ゴシック" w:eastAsia="游ゴシック"/>
          <w:b/>
          <w:i w:val="0"/>
          <w:sz w:val="21"/>
        </w:rPr>
        <w:t>地域包括支援センターの3事業と生活支援体制整備事業を、障がい・子ども・生活困窮の各事業と一体に実施することになります。</w:t>
      </w:r>
      <w:r>
        <w:rPr>
          <w:rFonts w:ascii="游ゴシック" w:hAnsi="游ゴシック" w:eastAsia="游ゴシック"/>
          <w:b w:val="0"/>
          <w:i w:val="0"/>
          <w:sz w:val="21"/>
        </w:rPr>
        <w:t>本計画の第6章4（地域支援事業）の立て方に関わるため、省令と県の方針が示された段階で改めて整理します。</w:t>
      </w:r>
    </w:p>
    <w:p>
      <w:pPr>
        <w:spacing w:before="40" w:after="160"/>
        <w:ind w:left="113"/>
      </w:pPr>
      <w:r>
        <w:rPr>
          <w:rFonts w:ascii="游ゴシック" w:hAnsi="游ゴシック" w:eastAsia="游ゴシック"/>
          <w:b/>
          <w:i w:val="0"/>
          <w:sz w:val="17"/>
        </w:rPr>
        <w:t>※ 従事する職員及びその員数の基準は厚生労働省令で定められ、小規模市町村はこれに従うものとされます</w:t>
      </w:r>
      <w:r>
        <w:rPr>
          <w:rFonts w:ascii="游ゴシック" w:hAnsi="游ゴシック" w:eastAsia="游ゴシック"/>
          <w:b w:val="0"/>
          <w:i w:val="0"/>
          <w:sz w:val="17"/>
        </w:rPr>
        <w:t>（同条第3項）。</w:t>
      </w:r>
      <w:r>
        <w:rPr>
          <w:rFonts w:ascii="游ゴシック" w:hAnsi="游ゴシック" w:eastAsia="游ゴシック"/>
          <w:b/>
          <w:i w:val="0"/>
          <w:sz w:val="17"/>
        </w:rPr>
        <w:t>分野を超えて職員を配置できることが、この事業の実益です。</w:t>
      </w:r>
      <w:r>
        <w:rPr>
          <w:rFonts w:ascii="游ゴシック" w:hAnsi="游ゴシック" w:eastAsia="游ゴシック"/>
          <w:b w:val="0"/>
          <w:i w:val="0"/>
          <w:sz w:val="17"/>
        </w:rPr>
        <w:t xml:space="preserve"> また、こども家庭センター、地域包括支援センター、基幹相談支援センター、生活困窮者自立支援法第3条第2項各号の事業を行う者その他の支援関係機関との緊密な連携を図るものとされ（同条第4項）、事務の全部又は一部を厚生労働省令で定める者に</w:t>
      </w:r>
      <w:r>
        <w:rPr>
          <w:rFonts w:ascii="游ゴシック" w:hAnsi="游ゴシック" w:eastAsia="游ゴシック"/>
          <w:b/>
          <w:i w:val="0"/>
          <w:sz w:val="17"/>
        </w:rPr>
        <w:t>委託することができます</w:t>
      </w:r>
      <w:r>
        <w:rPr>
          <w:rFonts w:ascii="游ゴシック" w:hAnsi="游ゴシック" w:eastAsia="游ゴシック"/>
          <w:b w:val="0"/>
          <w:i w:val="0"/>
          <w:sz w:val="17"/>
        </w:rPr>
        <w:t>（同条第5項）。</w:t>
      </w:r>
      <w:r>
        <w:rPr>
          <w:rFonts w:ascii="游ゴシック" w:hAnsi="游ゴシック" w:eastAsia="游ゴシック"/>
          <w:b/>
          <w:i w:val="0"/>
          <w:sz w:val="17"/>
        </w:rPr>
        <w:t>※ 改正前の第106条の6（支援会議）は、第106条の3の2に移ります。</w:t>
      </w:r>
      <w:r>
        <w:rPr>
          <w:rFonts w:ascii="游ゴシック" w:hAnsi="游ゴシック" w:eastAsia="游ゴシック"/>
          <w:b w:val="0"/>
          <w:i w:val="0"/>
          <w:sz w:val="17"/>
        </w:rPr>
        <w:t xml:space="preserve"> 第4章4に掲げる相互連携の規定（介護保険法第115条の48第5項）が名指ししている社会福祉法の支援会議は、</w:t>
      </w:r>
      <w:r>
        <w:rPr>
          <w:rFonts w:ascii="游ゴシック" w:hAnsi="游ゴシック" w:eastAsia="游ゴシック"/>
          <w:b/>
          <w:i w:val="0"/>
          <w:sz w:val="17"/>
        </w:rPr>
        <w:t>この移った後の条のもの</w:t>
      </w:r>
      <w:r>
        <w:rPr>
          <w:rFonts w:ascii="游ゴシック" w:hAnsi="游ゴシック" w:eastAsia="游ゴシック"/>
          <w:b w:val="0"/>
          <w:i w:val="0"/>
          <w:sz w:val="17"/>
        </w:rPr>
        <w:t>です。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spacing w:before="40" w:after="160"/>
        <w:ind w:left="113"/>
      </w:pPr>
      <w:r>
        <w:rPr>
          <w:rFonts w:ascii="游ゴシック" w:hAnsi="游ゴシック" w:eastAsia="游ゴシック"/>
          <w:b/>
          <w:i w:val="0"/>
          <w:sz w:val="17"/>
        </w:rPr>
        <w:t>※ 市町村地域福祉計画の記載事項も1つ増えます。</w:t>
      </w:r>
      <w:r>
        <w:rPr>
          <w:rFonts w:ascii="游ゴシック" w:hAnsi="游ゴシック" w:eastAsia="游ゴシック"/>
          <w:b w:val="0"/>
          <w:i w:val="0"/>
          <w:sz w:val="17"/>
        </w:rPr>
        <w:t xml:space="preserve"> 社会福祉法第107条第1項に第6号が新設され、「地域における保健医療、労働、教育、</w:t>
      </w:r>
      <w:r>
        <w:rPr>
          <w:rFonts w:ascii="游ゴシック" w:hAnsi="游ゴシック" w:eastAsia="游ゴシック"/>
          <w:b/>
          <w:i w:val="0"/>
          <w:sz w:val="17"/>
        </w:rPr>
        <w:t>住まい</w:t>
      </w:r>
      <w:r>
        <w:rPr>
          <w:rFonts w:ascii="游ゴシック" w:hAnsi="游ゴシック" w:eastAsia="游ゴシック"/>
          <w:b w:val="0"/>
          <w:i w:val="0"/>
          <w:sz w:val="17"/>
        </w:rPr>
        <w:t>、地域再生及び防災に関する施策、消費者の利益の擁護及び増進に関する施策その他の関連施策との連携に関する事項」を定めるものとされます（令和9年4月1日施行）。</w:t>
      </w:r>
      <w:r>
        <w:rPr>
          <w:rFonts w:ascii="游ゴシック" w:hAnsi="游ゴシック" w:eastAsia="游ゴシック"/>
          <w:b/>
          <w:i w:val="0"/>
          <w:sz w:val="17"/>
        </w:rPr>
        <w:t>第4期地域福祉計画の策定時に関わる事項であり、本計画の住まいの施策（第2章5）と接続します。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【表54】第4章4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【表55】第4章4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【表56】第5章基本目標1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【表57】第5章基本目標1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【表59】第5章基本目標1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 総合事業の実施方針は、国の「介護予防・日常生活支援総合事業のガイドライン」の最新の内容と照合して確定します（【決定後に記載】）。</w:t>
      </w:r>
    </w:p>
    <w:p>
      <w:pPr>
        <w:spacing w:before="60" w:after="60"/>
      </w:pPr>
      <w:r>
        <w:rPr>
          <w:rFonts w:ascii="游ゴシック" w:hAnsi="游ゴシック" w:eastAsia="游ゴシック"/>
          <w:b/>
          <w:i w:val="0"/>
          <w:sz w:val="21"/>
        </w:rPr>
        <w:t>令和9年4月1日から、介護予防と地域の支え合いを一体的に実施する拠点を運営する事業が、総合事業に新たに位置づけられます</w:t>
      </w:r>
      <w:r>
        <w:rPr>
          <w:rFonts w:ascii="游ゴシック" w:hAnsi="游ゴシック" w:eastAsia="游ゴシック"/>
          <w:b w:val="0"/>
          <w:i w:val="0"/>
          <w:sz w:val="21"/>
        </w:rPr>
        <w:t>（改正後の介護保険法第115条の45第1項第2号ロ。令和8年法律第51号）。通いの場の拡充（後述）を進める本町にとって、集会施設等を介護予防と支え合いの拠点として運営する際の財源の選択肢になります。本町で実施するかは、事業の要件が示された段階で判断します（【決定後に記載】）。</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【表60】第5章基本目標1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【表63】第5章基本目標1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【表66】第5章基本目標1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また、頼れる身寄りがいない高齢者等からの相談を、地域包括支援センターの総合相談で受けることが、令和9年4月の施行に向けて地域支援事業実施要綱で明確化される予定です</w:t>
      </w:r>
      <w:r>
        <w:rPr>
          <w:rFonts w:ascii="游ゴシック" w:hAnsi="游ゴシック" w:eastAsia="游ゴシック"/>
          <w:b w:val="0"/>
          <w:i w:val="0"/>
          <w:sz w:val="21"/>
        </w:rPr>
        <w:t>（全国介護保険担当課長会議資料、令和8年7月15日）。日常生活の支援、入院等の手続、死後の事務に関する相談を受け、第3期地域福祉計画の権利擁護の取組と連携して対応します。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【表75】第5章基本目標2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245"/>
            <w:vAlign w:val="center"/>
          </w:tcPr>
          <w:p>
            <w:pPr>
              <w:keepNext/>
              <w:spacing w:before="20" w:after="20"/>
            </w:pPr>
            <w:r>
              <w:rPr>
                <w:rFonts w:ascii="游ゴシック" w:hAnsi="游ゴシック" w:eastAsia="游ゴシック"/>
                <w:b w:val="0"/>
                <w:i w:val="0"/>
                <w:sz w:val="17"/>
              </w:rPr>
              <w:t>1か所（令和6年4月）</w:t>
            </w:r>
          </w:p>
        </w:tc>
        <w:tc>
          <w:tcPr>
            <w:tcW w:type="dxa" w:w="2507"/>
            <w:vAlign w:val="center"/>
          </w:tcPr>
          <w:p>
            <w:pPr>
              <w:keepNext/>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【表79】第5章基本目標2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【表80】第5章基本目標2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【表81】第5章基本目標2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【表82】第5章基本目標2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107"/>
        <w:gridCol w:w="2894"/>
      </w:tblGrid>
      <w:tr>
        <w:tc>
          <w:tcPr>
            <w:tcW w:type="dxa" w:w="275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0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50"/>
            <w:vAlign w:val="center"/>
          </w:tcPr>
          <w:p>
            <w:pPr>
              <w:spacing w:before="20" w:after="20"/>
            </w:pPr>
            <w:r>
              <w:rPr>
                <w:rFonts w:ascii="游ゴシック" w:hAnsi="游ゴシック" w:eastAsia="游ゴシック"/>
                <w:b w:val="0"/>
                <w:i w:val="0"/>
                <w:sz w:val="17"/>
              </w:rPr>
              <w:t>人材確保の支援</w:t>
            </w:r>
          </w:p>
        </w:tc>
        <w:tc>
          <w:tcPr>
            <w:tcW w:type="dxa" w:w="4107"/>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2894"/>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750"/>
            <w:vAlign w:val="center"/>
          </w:tcPr>
          <w:p>
            <w:pPr>
              <w:spacing w:before="20" w:after="20"/>
            </w:pPr>
            <w:r>
              <w:rPr>
                <w:rFonts w:ascii="游ゴシック" w:hAnsi="游ゴシック" w:eastAsia="游ゴシック"/>
                <w:b w:val="0"/>
                <w:i w:val="0"/>
                <w:sz w:val="17"/>
              </w:rPr>
              <w:t>ICT・介護テクノロジーの導入支援</w:t>
            </w:r>
          </w:p>
        </w:tc>
        <w:tc>
          <w:tcPr>
            <w:tcW w:type="dxa" w:w="4107"/>
            <w:vAlign w:val="center"/>
          </w:tcPr>
          <w:p>
            <w:pPr>
              <w:spacing w:before="20" w:after="20"/>
            </w:pPr>
            <w:r>
              <w:rPr>
                <w:rFonts w:ascii="游ゴシック" w:hAnsi="游ゴシック" w:eastAsia="游ゴシック"/>
                <w:b w:val="0"/>
                <w:i w:val="0"/>
                <w:sz w:val="17"/>
              </w:rPr>
              <w:t>介護記録のICT化、見守り機器、ケアプランデータ連携システム等の情報連携基盤</w:t>
            </w:r>
          </w:p>
        </w:tc>
        <w:tc>
          <w:tcPr>
            <w:tcW w:type="dxa" w:w="2894"/>
            <w:vAlign w:val="center"/>
          </w:tcPr>
          <w:p>
            <w:pPr>
              <w:spacing w:before="20" w:after="20"/>
            </w:pPr>
            <w:r>
              <w:rPr>
                <w:rFonts w:ascii="游ゴシック" w:hAnsi="游ゴシック" w:eastAsia="游ゴシック"/>
                <w:b w:val="0"/>
                <w:i w:val="0"/>
                <w:sz w:val="17"/>
              </w:rPr>
              <w:t>同上</w:t>
            </w:r>
          </w:p>
        </w:tc>
      </w:tr>
      <w:tr>
        <w:tc>
          <w:tcPr>
            <w:tcW w:type="dxa" w:w="2750"/>
            <w:vAlign w:val="center"/>
          </w:tcPr>
          <w:p>
            <w:pPr>
              <w:keepNext/>
              <w:spacing w:before="20" w:after="20"/>
            </w:pPr>
            <w:r>
              <w:rPr>
                <w:rFonts w:ascii="游ゴシック" w:hAnsi="游ゴシック" w:eastAsia="游ゴシック"/>
                <w:b w:val="0"/>
                <w:i w:val="0"/>
                <w:sz w:val="17"/>
              </w:rPr>
              <w:t>生産性向上・業務改善</w:t>
            </w:r>
          </w:p>
        </w:tc>
        <w:tc>
          <w:tcPr>
            <w:tcW w:type="dxa" w:w="4107"/>
            <w:vAlign w:val="center"/>
          </w:tcPr>
          <w:p>
            <w:pPr>
              <w:keepNext/>
              <w:spacing w:before="20" w:after="20"/>
            </w:pPr>
            <w:r>
              <w:rPr>
                <w:rFonts w:ascii="游ゴシック" w:hAnsi="游ゴシック" w:eastAsia="游ゴシック"/>
                <w:b w:val="0"/>
                <w:i w:val="0"/>
                <w:sz w:val="17"/>
              </w:rPr>
              <w:t>業務改善の助言、文書負担の軽減</w:t>
            </w:r>
          </w:p>
        </w:tc>
        <w:tc>
          <w:tcPr>
            <w:tcW w:type="dxa" w:w="2894"/>
            <w:vAlign w:val="center"/>
          </w:tcPr>
          <w:p>
            <w:pPr>
              <w:keepNext/>
              <w:spacing w:before="20" w:after="20"/>
            </w:pPr>
            <w:r>
              <w:rPr>
                <w:rFonts w:ascii="游ゴシック" w:hAnsi="游ゴシック" w:eastAsia="游ゴシック"/>
                <w:b w:val="0"/>
                <w:i w:val="0"/>
                <w:sz w:val="17"/>
              </w:rPr>
              <w:t>同上</w:t>
            </w:r>
          </w:p>
        </w:tc>
      </w:tr>
      <w:tr>
        <w:tc>
          <w:tcPr>
            <w:tcW w:type="dxa" w:w="2750"/>
            <w:vAlign w:val="center"/>
          </w:tcPr>
          <w:p>
            <w:pPr>
              <w:spacing w:before="20" w:after="20"/>
            </w:pPr>
            <w:r>
              <w:rPr>
                <w:rFonts w:ascii="游ゴシック" w:hAnsi="游ゴシック" w:eastAsia="游ゴシック"/>
                <w:b w:val="0"/>
                <w:i w:val="0"/>
                <w:sz w:val="17"/>
              </w:rPr>
              <w:t>研修の実施・支援</w:t>
            </w:r>
          </w:p>
        </w:tc>
        <w:tc>
          <w:tcPr>
            <w:tcW w:type="dxa" w:w="4107"/>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2894"/>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44"/>
        <w:gridCol w:w="3001"/>
        <w:gridCol w:w="2707"/>
      </w:tblGrid>
      <w:tr>
        <w:tc>
          <w:tcPr>
            <w:tcW w:type="dxa" w:w="4044"/>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44"/>
            <w:vAlign w:val="center"/>
          </w:tcPr>
          <w:p>
            <w:pPr>
              <w:spacing w:before="20" w:after="20"/>
            </w:pPr>
            <w:r>
              <w:rPr>
                <w:rFonts w:ascii="游ゴシック" w:hAnsi="游ゴシック" w:eastAsia="游ゴシック"/>
                <w:b w:val="0"/>
                <w:i w:val="0"/>
                <w:sz w:val="17"/>
              </w:rPr>
              <w:t>町内介護サービス事業所数</w:t>
            </w:r>
          </w:p>
        </w:tc>
        <w:tc>
          <w:tcPr>
            <w:tcW w:type="dxa" w:w="3001"/>
            <w:vAlign w:val="center"/>
          </w:tcPr>
          <w:p>
            <w:pPr>
              <w:spacing w:before="20" w:after="20"/>
            </w:pPr>
            <w:r>
              <w:rPr>
                <w:rFonts w:ascii="游ゴシック" w:hAnsi="游ゴシック" w:eastAsia="游ゴシック"/>
                <w:b w:val="0"/>
                <w:i w:val="0"/>
                <w:sz w:val="17"/>
              </w:rPr>
              <w:t>【見える化出力待ち】</w:t>
            </w:r>
          </w:p>
        </w:tc>
        <w:tc>
          <w:tcPr>
            <w:tcW w:type="dxa" w:w="2707"/>
            <w:vAlign w:val="center"/>
          </w:tcPr>
          <w:p>
            <w:pPr>
              <w:spacing w:before="20" w:after="20"/>
            </w:pPr>
            <w:r>
              <w:rPr>
                <w:rFonts w:ascii="游ゴシック" w:hAnsi="游ゴシック" w:eastAsia="游ゴシック"/>
                <w:b w:val="0"/>
                <w:i w:val="0"/>
                <w:sz w:val="17"/>
              </w:rPr>
              <w:t>維持</w:t>
            </w:r>
          </w:p>
        </w:tc>
      </w:tr>
      <w:tr>
        <w:tc>
          <w:tcPr>
            <w:tcW w:type="dxa" w:w="4044"/>
            <w:vAlign w:val="center"/>
          </w:tcPr>
          <w:p>
            <w:pPr>
              <w:spacing w:before="20" w:after="20"/>
            </w:pPr>
            <w:r>
              <w:rPr>
                <w:rFonts w:ascii="游ゴシック" w:hAnsi="游ゴシック" w:eastAsia="游ゴシック"/>
                <w:b w:val="0"/>
                <w:i w:val="0"/>
                <w:sz w:val="17"/>
              </w:rPr>
              <w:t>介護サービス自給率</w:t>
            </w:r>
          </w:p>
        </w:tc>
        <w:tc>
          <w:tcPr>
            <w:tcW w:type="dxa" w:w="3001"/>
            <w:vAlign w:val="center"/>
          </w:tcPr>
          <w:p>
            <w:pPr>
              <w:spacing w:before="20" w:after="20"/>
            </w:pPr>
            <w:r>
              <w:rPr>
                <w:rFonts w:ascii="游ゴシック" w:hAnsi="游ゴシック" w:eastAsia="游ゴシック"/>
                <w:b w:val="0"/>
                <w:i w:val="0"/>
                <w:sz w:val="17"/>
              </w:rPr>
              <w:t>67.57％</w:t>
            </w:r>
          </w:p>
        </w:tc>
        <w:tc>
          <w:tcPr>
            <w:tcW w:type="dxa" w:w="2707"/>
            <w:vAlign w:val="center"/>
          </w:tcPr>
          <w:p>
            <w:pPr>
              <w:spacing w:before="20" w:after="20"/>
            </w:pPr>
            <w:r>
              <w:rPr>
                <w:rFonts w:ascii="游ゴシック" w:hAnsi="游ゴシック" w:eastAsia="游ゴシック"/>
                <w:b w:val="0"/>
                <w:i w:val="0"/>
                <w:sz w:val="17"/>
              </w:rPr>
              <w:t>【協議会で設定】</w:t>
            </w:r>
          </w:p>
        </w:tc>
      </w:tr>
      <w:tr>
        <w:tc>
          <w:tcPr>
            <w:tcW w:type="dxa" w:w="4044"/>
            <w:vAlign w:val="center"/>
          </w:tcPr>
          <w:p>
            <w:pPr>
              <w:keepNext/>
              <w:spacing w:before="20" w:after="20"/>
            </w:pPr>
            <w:r>
              <w:rPr>
                <w:rFonts w:ascii="游ゴシック" w:hAnsi="游ゴシック" w:eastAsia="游ゴシック"/>
                <w:b w:val="0"/>
                <w:i w:val="0"/>
                <w:sz w:val="17"/>
              </w:rPr>
              <w:t>県事業・基金の活用件数</w:t>
            </w:r>
          </w:p>
        </w:tc>
        <w:tc>
          <w:tcPr>
            <w:tcW w:type="dxa" w:w="3001"/>
            <w:vAlign w:val="center"/>
          </w:tcPr>
          <w:p>
            <w:pPr>
              <w:keepNext/>
              <w:spacing w:before="20" w:after="20"/>
            </w:pPr>
            <w:r>
              <w:rPr>
                <w:rFonts w:ascii="游ゴシック" w:hAnsi="游ゴシック" w:eastAsia="游ゴシック"/>
                <w:b w:val="0"/>
                <w:i w:val="0"/>
                <w:sz w:val="17"/>
              </w:rPr>
              <w:t>【町データ待ち】</w:t>
            </w:r>
          </w:p>
        </w:tc>
        <w:tc>
          <w:tcPr>
            <w:tcW w:type="dxa" w:w="2707"/>
            <w:vAlign w:val="center"/>
          </w:tcPr>
          <w:p>
            <w:pPr>
              <w:keepNext/>
              <w:spacing w:before="20" w:after="20"/>
            </w:pPr>
            <w:r>
              <w:rPr>
                <w:rFonts w:ascii="游ゴシック" w:hAnsi="游ゴシック" w:eastAsia="游ゴシック"/>
                <w:b w:val="0"/>
                <w:i w:val="0"/>
                <w:sz w:val="17"/>
              </w:rPr>
              <w:t>【協議会で設定】</w:t>
            </w:r>
          </w:p>
        </w:tc>
      </w:tr>
      <w:tr>
        <w:tc>
          <w:tcPr>
            <w:tcW w:type="dxa" w:w="4044"/>
            <w:vAlign w:val="center"/>
          </w:tcPr>
          <w:p>
            <w:pPr>
              <w:spacing w:before="20" w:after="20"/>
            </w:pPr>
            <w:r>
              <w:rPr>
                <w:rFonts w:ascii="游ゴシック" w:hAnsi="游ゴシック" w:eastAsia="游ゴシック"/>
                <w:b/>
                <w:i w:val="0"/>
                <w:sz w:val="17"/>
              </w:rPr>
              <w:t>介護職員の定着（町内事業所の離職率）</w:t>
            </w:r>
          </w:p>
        </w:tc>
        <w:tc>
          <w:tcPr>
            <w:tcW w:type="dxa" w:w="3001"/>
            <w:vAlign w:val="center"/>
          </w:tcPr>
          <w:p>
            <w:pPr>
              <w:spacing w:before="20" w:after="20"/>
            </w:pPr>
            <w:r>
              <w:rPr>
                <w:rFonts w:ascii="游ゴシック" w:hAnsi="游ゴシック" w:eastAsia="游ゴシック"/>
                <w:b w:val="0"/>
                <w:i w:val="0"/>
                <w:sz w:val="17"/>
              </w:rPr>
              <w:t>【町データ待ち】</w:t>
            </w:r>
          </w:p>
        </w:tc>
        <w:tc>
          <w:tcPr>
            <w:tcW w:type="dxa" w:w="27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i w:val="0"/>
          <w:sz w:val="17"/>
        </w:rPr>
        <w:t>※ 人材の指標は、事業所数だけでなく職員の定着でも測ります。</w:t>
      </w:r>
      <w:r>
        <w:rPr>
          <w:rFonts w:ascii="游ゴシック" w:hAnsi="游ゴシック" w:eastAsia="游ゴシック"/>
          <w:b w:val="0"/>
          <w:i w:val="0"/>
          <w:sz w:val="17"/>
        </w:rPr>
        <w:t>町内事業所の離職率は、介護人材実態調査を実施していないため現状値がありません。把握の方法（事業所への照会等）から協議会でお諮りします（【町データ待ち】）。※ 町内事業所のICT・ケアプランデータ連携システムの導入状況は【町データ待ち】。※ 地域医療介護総合確保基金のメニューと県の交付要綱は県に確認しています（【町データ待ち】）。</w:t>
      </w: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【表86】第5章基本目標2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【表87】第5章基本目標2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【表88】第5章基本目標2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【表89】第5章基本目標2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【表90】第5章基本目標3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【表91】第5章基本目標3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【表92】第5章基本目標3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【表93】第5章基本目標3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【表94】第5章基本目標3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【表95】第5章基本目標3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【表96】第5章基本目標3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【表97】第5章基本目標3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【表98】第5章基本目標3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r>
        <w:rPr>
          <w:rFonts w:ascii="游ゴシック" w:hAnsi="游ゴシック" w:eastAsia="游ゴシック"/>
          <w:b/>
          <w:i w:val="0"/>
          <w:sz w:val="17"/>
        </w:rPr>
        <w:t>※ 福島県保健医療計画（第八次）図表12−2−9 は、本町の介護医療院を58人と記載していますが、同じ見える化システムのＤ25 は、本町の介護医療院を平成27年度から令和7年度まで一貫して「−」としています。</w:t>
      </w:r>
      <w:r>
        <w:rPr>
          <w:rFonts w:ascii="游ゴシック" w:hAnsi="游ゴシック" w:eastAsia="游ゴシック"/>
          <w:b w:val="0"/>
          <w:i w:val="0"/>
          <w:sz w:val="17"/>
        </w:rPr>
        <w:t xml:space="preserve"> 58人は、</w:t>
      </w:r>
      <w:r>
        <w:rPr>
          <w:rFonts w:ascii="游ゴシック" w:hAnsi="游ゴシック" w:eastAsia="游ゴシック"/>
          <w:b/>
          <w:i w:val="0"/>
          <w:sz w:val="17"/>
        </w:rPr>
        <w:t>本町の地域密着型介護老人福祉施設の定員</w:t>
      </w:r>
      <w:r>
        <w:rPr>
          <w:rFonts w:ascii="游ゴシック" w:hAnsi="游ゴシック" w:eastAsia="游ゴシック"/>
          <w:b w:val="0"/>
          <w:i w:val="0"/>
          <w:sz w:val="17"/>
        </w:rPr>
        <w:t>です（令和2年度以降58人）。本計画はＤ25 の原票によります。</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【表99】第5章基本目標3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【表100】要介護認定者数の見込み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見込量は、自然体推計のみによらず、人材の供給制約（第6章6）と、介護サービスの提供状況の地域差を示す指標（介護SCR）などの状況を総合的に勘案して定めます</w:t>
      </w:r>
      <w:r>
        <w:rPr>
          <w:rFonts w:ascii="游ゴシック" w:hAnsi="游ゴシック" w:eastAsia="游ゴシック"/>
          <w:b w:val="0"/>
          <w:i w:val="0"/>
          <w:sz w:val="21"/>
        </w:rPr>
        <w:t>（全国介護保険担当課長会議資料、令和8年7月15日）。本町の介護SCRは【見える化出力待ち】です（資料編12）。</w:t>
      </w:r>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【表101】第6章2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br/>
              <w:t>（本町は</w:t>
            </w:r>
            <w:r>
              <w:rPr>
                <w:rFonts w:ascii="游ゴシック" w:hAnsi="游ゴシック" w:eastAsia="游ゴシック"/>
                <w:b/>
                <w:i w:val="0"/>
                <w:sz w:val="17"/>
              </w:rPr>
              <w:t>県中医療圏</w:t>
            </w:r>
            <w:r>
              <w:rPr>
                <w:rFonts w:ascii="游ゴシック" w:hAnsi="游ゴシック" w:eastAsia="游ゴシック"/>
                <w:b w:val="0"/>
                <w:i w:val="0"/>
                <w:sz w:val="17"/>
              </w:rPr>
              <w:t>）</w:t>
            </w:r>
          </w:p>
        </w:tc>
        <w:tc>
          <w:tcPr>
            <w:tcW w:type="dxa" w:w="3515"/>
            <w:vAlign w:val="center"/>
          </w:tcPr>
          <w:p>
            <w:pPr>
              <w:spacing w:before="20" w:after="20"/>
            </w:pPr>
            <w:r>
              <w:rPr>
                <w:rFonts w:ascii="游ゴシック" w:hAnsi="游ゴシック" w:eastAsia="游ゴシック"/>
                <w:b/>
                <w:i w:val="0"/>
                <w:sz w:val="17"/>
              </w:rPr>
              <w:t>本町は県中医療圏に属し、町内には公立小野町地方綜合病院があります。</w:t>
            </w:r>
            <w:r>
              <w:rPr>
                <w:rFonts w:ascii="游ゴシック" w:hAnsi="游ゴシック" w:eastAsia="游ゴシック"/>
                <w:b/>
                <w:i w:val="0"/>
                <w:sz w:val="17"/>
              </w:rPr>
              <w:t>同院は、本町と田村市・平田村・川内村・いわき市の2市1町2村で運営する病院です</w:t>
            </w:r>
            <w:r>
              <w:rPr>
                <w:rFonts w:ascii="游ゴシック" w:hAnsi="游ゴシック" w:eastAsia="游ゴシック"/>
                <w:b w:val="0"/>
                <w:i w:val="0"/>
                <w:sz w:val="17"/>
              </w:rPr>
              <w:t>（第9期計画 第4章（４）②）。県の保健医療計画は、同院を圏域内の病院として掲げています。</w:t>
            </w:r>
            <w:r>
              <w:rPr>
                <w:rFonts w:ascii="游ゴシック" w:hAnsi="游ゴシック" w:eastAsia="游ゴシック"/>
                <w:b/>
                <w:i w:val="0"/>
                <w:sz w:val="17"/>
              </w:rPr>
              <w:t>在宅療養支援病院・診療所は町内に2か所</w:t>
            </w:r>
            <w:r>
              <w:rPr>
                <w:rFonts w:ascii="游ゴシック" w:hAnsi="游ゴシック" w:eastAsia="游ゴシック"/>
                <w:b w:val="0"/>
                <w:i w:val="0"/>
                <w:sz w:val="17"/>
              </w:rPr>
              <w:t>で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r>
        <w:rPr>
          <w:rFonts w:ascii="游ゴシック" w:hAnsi="游ゴシック" w:eastAsia="游ゴシック"/>
          <w:b/>
          <w:i w:val="0"/>
          <w:sz w:val="17"/>
        </w:rPr>
        <w:t>第2号の「県が定める区域」は、本町では県中医療圏（郡山市、須賀川市、田村市、鏡石町、天栄村、石川町、玉川村、平田村、浅川町、古殿町、三春町、小野町）に当たります。</w:t>
      </w:r>
      <w:r>
        <w:rPr>
          <w:rFonts w:ascii="游ゴシック" w:hAnsi="游ゴシック" w:eastAsia="游ゴシック"/>
          <w:b w:val="0"/>
          <w:i w:val="0"/>
          <w:sz w:val="17"/>
        </w:rPr>
        <w:t>在宅療養支援病院・診療所の箇所数は、福島県保健医療計画（第八次）第12章第2節 図表12−2−8（令和3年3月31日現在）による。</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【表102】第6章2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【表103】第6章2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【表104】第6章3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【表105】第6章4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【表106】第6章4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【表107】第6章4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【表108】第6章4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pStyle w:val="Heading3"/>
        <w:keepNext/>
        <w:spacing w:before="180" w:after="80"/>
      </w:pPr>
      <w:r>
        <w:rPr>
          <w:rFonts w:ascii="游ゴシック" w:hAnsi="游ゴシック" w:eastAsia="游ゴシック"/>
          <w:b/>
          <w:i w:val="0"/>
          <w:color w:val="1F4D78"/>
          <w:sz w:val="22"/>
        </w:rPr>
        <w:t>（参考）特定地域居宅サービス等事業（令和9年4月1日新設）</w:t>
      </w:r>
    </w:p>
    <w:p>
      <w:pPr>
        <w:spacing w:before="60" w:after="60"/>
      </w:pPr>
      <w:r>
        <w:rPr>
          <w:rFonts w:ascii="游ゴシック" w:hAnsi="游ゴシック" w:eastAsia="游ゴシック"/>
          <w:b/>
          <w:i w:val="0"/>
          <w:sz w:val="21"/>
        </w:rPr>
        <w:t>令和9年4月1日に、地域支援事業に「特定地域居宅サービス等事業」が加わります（介護保険法第115条の45第3項。新設）。</w:t>
      </w:r>
      <w:r>
        <w:rPr>
          <w:rFonts w:ascii="游ゴシック" w:hAnsi="游ゴシック" w:eastAsia="游ゴシック"/>
          <w:b w:val="0"/>
          <w:i w:val="0"/>
          <w:sz w:val="21"/>
        </w:rPr>
        <w:t>区域内に</w:t>
      </w:r>
      <w:r>
        <w:rPr>
          <w:rFonts w:ascii="游ゴシック" w:hAnsi="游ゴシック" w:eastAsia="游ゴシック"/>
          <w:b/>
          <w:i w:val="0"/>
          <w:sz w:val="21"/>
        </w:rPr>
        <w:t>特定地域</w:t>
      </w:r>
      <w:r>
        <w:rPr>
          <w:rFonts w:ascii="游ゴシック" w:hAnsi="游ゴシック" w:eastAsia="游ゴシック"/>
          <w:b w:val="0"/>
          <w:i w:val="0"/>
          <w:sz w:val="21"/>
        </w:rPr>
        <w:t>がある市町村は、厚生労働省令で定める基準に従い、特定地域に住所を有する被保険者に対し、次の表のサービス（又はこれに相当するサービス）を</w:t>
      </w:r>
      <w:r>
        <w:rPr>
          <w:rFonts w:ascii="游ゴシック" w:hAnsi="游ゴシック" w:eastAsia="游ゴシック"/>
          <w:b/>
          <w:i w:val="0"/>
          <w:sz w:val="21"/>
        </w:rPr>
        <w:t>地域支援事業として</w:t>
      </w:r>
      <w:r>
        <w:rPr>
          <w:rFonts w:ascii="游ゴシック" w:hAnsi="游ゴシック" w:eastAsia="游ゴシック"/>
          <w:b w:val="0"/>
          <w:i w:val="0"/>
          <w:sz w:val="21"/>
        </w:rPr>
        <w:t>行うことができます。</w:t>
      </w:r>
    </w:p>
    <w:p>
      <w:pPr>
        <w:keepNext/>
        <w:spacing w:before="200" w:after="40"/>
      </w:pPr>
      <w:r>
        <w:rPr>
          <w:rFonts w:ascii="游ゴシック" w:hAnsi="游ゴシック" w:eastAsia="游ゴシック"/>
          <w:b/>
          <w:i w:val="0"/>
          <w:color w:val="1F4D78"/>
          <w:sz w:val="22"/>
        </w:rPr>
        <w:t>【表109】特定地域居宅サービス等事業の対象（介護保険法第115条の45第3項）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27"/>
        <w:gridCol w:w="4124"/>
      </w:tblGrid>
      <w:tr>
        <w:tc>
          <w:tcPr>
            <w:tcW w:type="dxa" w:w="5627"/>
            <w:shd w:val="clear" w:fill="1F3864"/>
            <w:vAlign w:val="center"/>
          </w:tcPr>
          <w:p>
            <w:pPr>
              <w:spacing w:before="20" w:after="20"/>
              <w:jc w:val="center"/>
            </w:pPr>
            <w:r>
              <w:rPr>
                <w:rFonts w:ascii="游ゴシック" w:hAnsi="游ゴシック" w:eastAsia="游ゴシック"/>
                <w:b/>
                <w:i w:val="0"/>
                <w:color w:val="FFFFFF"/>
                <w:sz w:val="17"/>
              </w:rPr>
              <w:t>対象となる被保険者</w:t>
            </w:r>
          </w:p>
        </w:tc>
        <w:tc>
          <w:tcPr>
            <w:tcW w:type="dxa" w:w="4124"/>
            <w:shd w:val="clear" w:fill="1F3864"/>
            <w:vAlign w:val="center"/>
          </w:tcPr>
          <w:p>
            <w:pPr>
              <w:spacing w:before="20" w:after="20"/>
              <w:jc w:val="center"/>
            </w:pPr>
            <w:r>
              <w:rPr>
                <w:rFonts w:ascii="游ゴシック" w:hAnsi="游ゴシック" w:eastAsia="游ゴシック"/>
                <w:b/>
                <w:i w:val="0"/>
                <w:color w:val="FFFFFF"/>
                <w:sz w:val="17"/>
              </w:rPr>
              <w:t>行うことができるサービス</w:t>
            </w:r>
          </w:p>
        </w:tc>
      </w:tr>
      <w:tr>
        <w:tc>
          <w:tcPr>
            <w:tcW w:type="dxa" w:w="5627"/>
            <w:vAlign w:val="center"/>
          </w:tcPr>
          <w:p>
            <w:pPr>
              <w:keepNext/>
              <w:spacing w:before="20" w:after="20"/>
            </w:pPr>
            <w:r>
              <w:rPr>
                <w:rFonts w:ascii="游ゴシック" w:hAnsi="游ゴシック" w:eastAsia="游ゴシック"/>
                <w:b w:val="0"/>
                <w:i w:val="0"/>
                <w:sz w:val="17"/>
              </w:rPr>
              <w:t>特定地域の区域に住所を有し、要介護認定を受けた被保険者のうち、居宅において介護を受けるもの</w:t>
            </w:r>
          </w:p>
        </w:tc>
        <w:tc>
          <w:tcPr>
            <w:tcW w:type="dxa" w:w="4124"/>
            <w:vAlign w:val="center"/>
          </w:tcPr>
          <w:p>
            <w:pPr>
              <w:keepNext/>
              <w:spacing w:before="20" w:after="20"/>
            </w:pPr>
            <w:r>
              <w:rPr>
                <w:rFonts w:ascii="游ゴシック" w:hAnsi="游ゴシック" w:eastAsia="游ゴシック"/>
                <w:b w:val="0"/>
                <w:i w:val="0"/>
                <w:sz w:val="17"/>
              </w:rPr>
              <w:t>訪問介護、訪問入浴介護、通所介護又は短期入所生活介護</w:t>
            </w:r>
          </w:p>
        </w:tc>
      </w:tr>
      <w:tr>
        <w:tc>
          <w:tcPr>
            <w:tcW w:type="dxa" w:w="5627"/>
            <w:vAlign w:val="center"/>
          </w:tcPr>
          <w:p>
            <w:pPr>
              <w:spacing w:before="20" w:after="20"/>
            </w:pPr>
            <w:r>
              <w:rPr>
                <w:rFonts w:ascii="游ゴシック" w:hAnsi="游ゴシック" w:eastAsia="游ゴシック"/>
                <w:b w:val="0"/>
                <w:i w:val="0"/>
                <w:sz w:val="17"/>
              </w:rPr>
              <w:t>特定地域の区域に住所を有し、要支援認定を受けた被保険者のうち、居宅において支援を受けるもの</w:t>
            </w:r>
          </w:p>
        </w:tc>
        <w:tc>
          <w:tcPr>
            <w:tcW w:type="dxa" w:w="4124"/>
            <w:vAlign w:val="center"/>
          </w:tcPr>
          <w:p>
            <w:pPr>
              <w:spacing w:before="20" w:after="20"/>
            </w:pPr>
            <w:r>
              <w:rPr>
                <w:rFonts w:ascii="游ゴシック" w:hAnsi="游ゴシック" w:eastAsia="游ゴシック"/>
                <w:b w:val="0"/>
                <w:i w:val="0"/>
                <w:sz w:val="17"/>
              </w:rPr>
              <w:t>介護予防訪問入浴介護又は介護予防短期入所生活介護</w:t>
            </w:r>
          </w:p>
        </w:tc>
      </w:tr>
    </w:tbl>
    <w:p>
      <w:pPr>
        <w:spacing w:after="40"/>
      </w:pPr>
    </w:p>
    <w:p>
      <w:pPr>
        <w:spacing w:before="60" w:after="60"/>
      </w:pPr>
      <w:r>
        <w:rPr>
          <w:rFonts w:ascii="游ゴシック" w:hAnsi="游ゴシック" w:eastAsia="游ゴシック"/>
          <w:b/>
          <w:i w:val="0"/>
          <w:sz w:val="21"/>
        </w:rPr>
        <w:t>特定地域とは、「人口の減少その他の厚生労働省令で定める基準に該当する地域として都道府県が定めるもの」です（介護保険法第42条第1項第3号）。</w:t>
      </w:r>
      <w:r>
        <w:rPr>
          <w:rFonts w:ascii="游ゴシック" w:hAnsi="游ゴシック" w:eastAsia="游ゴシック"/>
          <w:b w:val="0"/>
          <w:i w:val="0"/>
          <w:sz w:val="21"/>
        </w:rPr>
        <w:t>定めるのは</w:t>
      </w:r>
      <w:r>
        <w:rPr>
          <w:rFonts w:ascii="游ゴシック" w:hAnsi="游ゴシック" w:eastAsia="游ゴシック"/>
          <w:b/>
          <w:i w:val="0"/>
          <w:sz w:val="21"/>
        </w:rPr>
        <w:t>県</w:t>
      </w:r>
      <w:r>
        <w:rPr>
          <w:rFonts w:ascii="游ゴシック" w:hAnsi="游ゴシック" w:eastAsia="游ゴシック"/>
          <w:b w:val="0"/>
          <w:i w:val="0"/>
          <w:sz w:val="21"/>
        </w:rPr>
        <w:t>であり、基準は</w:t>
      </w:r>
      <w:r>
        <w:rPr>
          <w:rFonts w:ascii="游ゴシック" w:hAnsi="游ゴシック" w:eastAsia="游ゴシック"/>
          <w:b/>
          <w:i w:val="0"/>
          <w:sz w:val="21"/>
        </w:rPr>
        <w:t>厚生労働省令</w:t>
      </w:r>
      <w:r>
        <w:rPr>
          <w:rFonts w:ascii="游ゴシック" w:hAnsi="游ゴシック" w:eastAsia="游ゴシック"/>
          <w:b w:val="0"/>
          <w:i w:val="0"/>
          <w:sz w:val="21"/>
        </w:rPr>
        <w:t>で定まります。本町の区域が特定地域に定められるかどうかは【町データ待ち】であり、本計画の本文には、指定があることを前提とした記載をしていません。</w:t>
      </w:r>
    </w:p>
    <w:p>
      <w:pPr>
        <w:spacing w:before="40" w:after="160"/>
        <w:ind w:left="113"/>
      </w:pPr>
      <w:r>
        <w:rPr>
          <w:rFonts w:ascii="游ゴシック" w:hAnsi="游ゴシック" w:eastAsia="游ゴシック"/>
          <w:b/>
          <w:i w:val="0"/>
          <w:sz w:val="17"/>
        </w:rPr>
        <w:t>※ 基準を定める厚生労働省令は、令和8年10月19日現在、公布されていません。</w:t>
      </w:r>
      <w:r>
        <w:rPr>
          <w:rFonts w:ascii="游ゴシック" w:hAnsi="游ゴシック" w:eastAsia="游ゴシック"/>
          <w:b w:val="0"/>
          <w:i w:val="0"/>
          <w:sz w:val="17"/>
        </w:rPr>
        <w:t xml:space="preserve"> 介護保険法施行規則について、令和9年4月1日に効力をもつ版を法令APIで取得したところ、</w:t>
      </w:r>
      <w:r>
        <w:rPr>
          <w:rFonts w:ascii="游ゴシック" w:hAnsi="游ゴシック" w:eastAsia="游ゴシック"/>
          <w:b/>
          <w:i w:val="0"/>
          <w:sz w:val="17"/>
        </w:rPr>
        <w:t>「特定地域」の語を含む条は1つもありません</w:t>
      </w:r>
      <w:r>
        <w:rPr>
          <w:rFonts w:ascii="游ゴシック" w:hAnsi="游ゴシック" w:eastAsia="游ゴシック"/>
          <w:b w:val="0"/>
          <w:i w:val="0"/>
          <w:sz w:val="17"/>
        </w:rPr>
        <w:t>（同日現在の最新は令和8年10月1日施行の版）。介護保険法施行令も同じです。</w:t>
      </w:r>
      <w:r>
        <w:rPr>
          <w:rFonts w:ascii="游ゴシック" w:hAnsi="游ゴシック" w:eastAsia="游ゴシック"/>
          <w:b/>
          <w:i w:val="0"/>
          <w:sz w:val="17"/>
        </w:rPr>
        <w:t>したがって、本計画の策定時点では、本町が特定地域に当たるかどうかを判断する材料がありません。</w:t>
      </w:r>
    </w:p>
    <w:p>
      <w:pPr>
        <w:spacing w:before="40" w:after="160"/>
        <w:ind w:left="113"/>
      </w:pPr>
      <w:r>
        <w:rPr>
          <w:rFonts w:ascii="游ゴシック" w:hAnsi="游ゴシック" w:eastAsia="游ゴシック"/>
          <w:b/>
          <w:i w:val="0"/>
          <w:sz w:val="17"/>
        </w:rPr>
        <w:t>※ 費用の扱いが包括的支援事業・任意事業と異なります。</w:t>
      </w:r>
      <w:r>
        <w:rPr>
          <w:rFonts w:ascii="游ゴシック" w:hAnsi="游ゴシック" w:eastAsia="游ゴシック"/>
          <w:b w:val="0"/>
          <w:i w:val="0"/>
          <w:sz w:val="17"/>
        </w:rPr>
        <w:t xml:space="preserve"> 特定地域居宅サービス等事業に要する費用は、介護予防・日常生活支援総合事業と同じく</w:t>
      </w:r>
      <w:r>
        <w:rPr>
          <w:rFonts w:ascii="游ゴシック" w:hAnsi="游ゴシック" w:eastAsia="游ゴシック"/>
          <w:b/>
          <w:i w:val="0"/>
          <w:sz w:val="17"/>
        </w:rPr>
        <w:t>第2号被保険者の負担（地域支援事業支援交付金）の対象</w:t>
      </w:r>
      <w:r>
        <w:rPr>
          <w:rFonts w:ascii="游ゴシック" w:hAnsi="游ゴシック" w:eastAsia="游ゴシック"/>
          <w:b w:val="0"/>
          <w:i w:val="0"/>
          <w:sz w:val="17"/>
        </w:rPr>
        <w:t>です（介護保険法第126条第1項）。一方、国が交付する「特定地域支援事業支援額」の対象からは</w:t>
      </w:r>
      <w:r>
        <w:rPr>
          <w:rFonts w:ascii="游ゴシック" w:hAnsi="游ゴシック" w:eastAsia="游ゴシック"/>
          <w:b/>
          <w:i w:val="0"/>
          <w:sz w:val="17"/>
        </w:rPr>
        <w:t>除かれます</w:t>
      </w:r>
      <w:r>
        <w:rPr>
          <w:rFonts w:ascii="游ゴシック" w:hAnsi="游ゴシック" w:eastAsia="游ゴシック"/>
          <w:b w:val="0"/>
          <w:i w:val="0"/>
          <w:sz w:val="17"/>
        </w:rPr>
        <w:t>（同法第122条の2第4項）。</w:t>
      </w:r>
      <w:r>
        <w:rPr>
          <w:rFonts w:ascii="游ゴシック" w:hAnsi="游ゴシック" w:eastAsia="游ゴシック"/>
          <w:b/>
          <w:i w:val="0"/>
          <w:sz w:val="17"/>
        </w:rPr>
        <w:t>したがって、本町が特定地域に定められ、かつ本事業を行う場合は、地域支援事業費と保険料の算定をやり直すことになります。</w:t>
      </w:r>
      <w:r>
        <w:rPr>
          <w:rFonts w:ascii="游ゴシック" w:hAnsi="游ゴシック" w:eastAsia="游ゴシック"/>
          <w:b/>
          <w:i w:val="0"/>
          <w:sz w:val="17"/>
        </w:rPr>
        <w:t>※ 用語に紛らわしさがあります。</w:t>
      </w:r>
      <w:r>
        <w:rPr>
          <w:rFonts w:ascii="游ゴシック" w:hAnsi="游ゴシック" w:eastAsia="游ゴシック"/>
          <w:b w:val="0"/>
          <w:i w:val="0"/>
          <w:sz w:val="17"/>
        </w:rPr>
        <w:t xml:space="preserve"> 同法第122条の2第4項の「特定地域支援事業支援額」は改正前からある用語で、</w:t>
      </w:r>
      <w:r>
        <w:rPr>
          <w:rFonts w:ascii="游ゴシック" w:hAnsi="游ゴシック" w:eastAsia="游ゴシック"/>
          <w:b/>
          <w:i w:val="0"/>
          <w:sz w:val="17"/>
        </w:rPr>
        <w:t>ここでいう「特定地域」とは関係がありません。</w:t>
      </w:r>
      <w:r>
        <w:rPr>
          <w:rFonts w:ascii="游ゴシック" w:hAnsi="游ゴシック" w:eastAsia="游ゴシック"/>
          <w:b w:val="0"/>
          <w:i w:val="0"/>
          <w:sz w:val="17"/>
        </w:rPr>
        <w:t>包括的支援事業・任意事業に係る国の負担の額を指します。</w:t>
      </w:r>
    </w:p>
    <w:p>
      <w:pPr>
        <w:spacing w:before="40" w:after="160"/>
        <w:ind w:left="113"/>
      </w:pPr>
      <w:r>
        <w:rPr>
          <w:rFonts w:ascii="游ゴシック" w:hAnsi="游ゴシック" w:eastAsia="游ゴシック"/>
          <w:b w:val="0"/>
          <w:i w:val="0"/>
          <w:sz w:val="17"/>
        </w:rPr>
        <w:t>※ この新設により、</w:t>
      </w:r>
      <w:r>
        <w:rPr>
          <w:rFonts w:ascii="游ゴシック" w:hAnsi="游ゴシック" w:eastAsia="游ゴシック"/>
          <w:b/>
          <w:i w:val="0"/>
          <w:sz w:val="17"/>
        </w:rPr>
        <w:t>同条の項が1つずつ繰り下がります。</w:t>
      </w:r>
      <w:r>
        <w:rPr>
          <w:rFonts w:ascii="游ゴシック" w:hAnsi="游ゴシック" w:eastAsia="游ゴシック"/>
          <w:b w:val="0"/>
          <w:i w:val="0"/>
          <w:sz w:val="17"/>
        </w:rPr>
        <w:t xml:space="preserve"> 任意事業は第3項から</w:t>
      </w:r>
      <w:r>
        <w:rPr>
          <w:rFonts w:ascii="游ゴシック" w:hAnsi="游ゴシック" w:eastAsia="游ゴシック"/>
          <w:b/>
          <w:i w:val="0"/>
          <w:sz w:val="17"/>
        </w:rPr>
        <w:t>第4項</w:t>
      </w:r>
      <w:r>
        <w:rPr>
          <w:rFonts w:ascii="游ゴシック" w:hAnsi="游ゴシック" w:eastAsia="游ゴシック"/>
          <w:b w:val="0"/>
          <w:i w:val="0"/>
          <w:sz w:val="17"/>
        </w:rPr>
        <w:t>に、</w:t>
      </w:r>
      <w:r>
        <w:rPr>
          <w:rFonts w:ascii="游ゴシック" w:hAnsi="游ゴシック" w:eastAsia="游ゴシック"/>
          <w:b/>
          <w:i w:val="0"/>
          <w:sz w:val="17"/>
        </w:rPr>
        <w:t>地域支援事業費の上限（政令で定める額）の規定は第4項から第5項</w:t>
      </w:r>
      <w:r>
        <w:rPr>
          <w:rFonts w:ascii="游ゴシック" w:hAnsi="游ゴシック" w:eastAsia="游ゴシック"/>
          <w:b w:val="0"/>
          <w:i w:val="0"/>
          <w:sz w:val="17"/>
        </w:rPr>
        <w:t>に、利用料の請求は第10項から</w:t>
      </w:r>
      <w:r>
        <w:rPr>
          <w:rFonts w:ascii="游ゴシック" w:hAnsi="游ゴシック" w:eastAsia="游ゴシック"/>
          <w:b/>
          <w:i w:val="0"/>
          <w:sz w:val="17"/>
        </w:rPr>
        <w:t>第11項</w:t>
      </w:r>
      <w:r>
        <w:rPr>
          <w:rFonts w:ascii="游ゴシック" w:hAnsi="游ゴシック" w:eastAsia="游ゴシック"/>
          <w:b w:val="0"/>
          <w:i w:val="0"/>
          <w:sz w:val="17"/>
        </w:rPr>
        <w:t>になります（全10項→全11項）。本計画で任意事業の根拠を引くときは、令和9年4月1日以後は第115条の45第4項となります。</w:t>
      </w:r>
      <w:r>
        <w:rPr>
          <w:rFonts w:ascii="游ゴシック" w:hAnsi="游ゴシック" w:eastAsia="游ゴシック"/>
          <w:b/>
          <w:i w:val="0"/>
          <w:sz w:val="17"/>
        </w:rPr>
        <w:t>なお、上限の額を定める介護保険法施行令第37条の13は、令和8年10月19日現在なお「法第115条の45第4項の政令で定める額」と書いており、改正に追従していません。</w:t>
      </w:r>
      <w:r>
        <w:rPr>
          <w:rFonts w:ascii="游ゴシック" w:hAnsi="游ゴシック" w:eastAsia="游ゴシック"/>
          <w:b w:val="0"/>
          <w:i w:val="0"/>
          <w:sz w:val="17"/>
        </w:rPr>
        <w:t xml:space="preserve"> 法律の改正に政令・省令が追いついていない段階です。</w:t>
      </w:r>
    </w:p>
    <w:p>
      <w:pPr>
        <w:spacing w:before="40" w:after="160"/>
        <w:ind w:left="113"/>
      </w:pPr>
      <w:r>
        <w:rPr>
          <w:rFonts w:ascii="游ゴシック" w:hAnsi="游ゴシック" w:eastAsia="游ゴシック"/>
          <w:b w:val="0"/>
          <w:i w:val="0"/>
          <w:sz w:val="17"/>
        </w:rPr>
        <w:t>出所：介護保険法（平成9年法律第123号）令和9年4月1日時点。e-Gov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【表110】第6章5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194,662千円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739,330千円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keepNext/>
              <w:spacing w:before="20" w:after="20"/>
            </w:pPr>
            <w:r>
              <w:rPr>
                <w:rFonts w:ascii="游ゴシック" w:hAnsi="游ゴシック" w:eastAsia="游ゴシック"/>
                <w:b w:val="0"/>
                <w:i w:val="0"/>
                <w:sz w:val="17"/>
              </w:rPr>
              <w:t>10,245人</w:t>
            </w:r>
          </w:p>
        </w:tc>
        <w:tc>
          <w:tcPr>
            <w:tcW w:type="dxa" w:w="3747"/>
            <w:vAlign w:val="center"/>
          </w:tcPr>
          <w:p>
            <w:pPr>
              <w:keepNext/>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6,053円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【表111】第6章5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keepNext/>
              <w:spacing w:before="20" w:after="20"/>
            </w:pPr>
            <w:r>
              <w:rPr>
                <w:rFonts w:ascii="游ゴシック" w:hAnsi="游ゴシック" w:eastAsia="游ゴシック"/>
                <w:b w:val="0"/>
                <w:i w:val="0"/>
                <w:sz w:val="17"/>
              </w:rPr>
              <w:t>総給付費・介護報酬改定</w:t>
            </w:r>
          </w:p>
        </w:tc>
        <w:tc>
          <w:tcPr>
            <w:tcW w:type="dxa" w:w="1803"/>
            <w:vAlign w:val="center"/>
          </w:tcPr>
          <w:p>
            <w:pPr>
              <w:keepNext/>
              <w:spacing w:before="20" w:after="20"/>
            </w:pPr>
            <w:r>
              <w:rPr>
                <w:rFonts w:ascii="游ゴシック" w:hAnsi="游ゴシック" w:eastAsia="游ゴシック"/>
                <w:b w:val="0"/>
                <w:i w:val="0"/>
                <w:sz w:val="17"/>
              </w:rPr>
              <w:t>1％</w:t>
            </w:r>
          </w:p>
        </w:tc>
        <w:tc>
          <w:tcPr>
            <w:tcW w:type="dxa" w:w="1445"/>
            <w:vAlign w:val="center"/>
          </w:tcPr>
          <w:p>
            <w:pPr>
              <w:keepNext/>
              <w:spacing w:before="20" w:after="20"/>
            </w:pPr>
            <w:r>
              <w:rPr>
                <w:rFonts w:ascii="游ゴシック" w:hAnsi="游ゴシック" w:eastAsia="游ゴシック"/>
                <w:b w:val="0"/>
                <w:i w:val="0"/>
                <w:sz w:val="17"/>
              </w:rPr>
              <w:t>+56.9円</w:t>
            </w:r>
          </w:p>
        </w:tc>
        <w:tc>
          <w:tcPr>
            <w:tcW w:type="dxa" w:w="478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【表112】第6章5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5,955円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【表113】第6章6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【表114】第6章7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【表115】第6章7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0"/>
        <w:gridCol w:w="2188"/>
        <w:gridCol w:w="1220"/>
        <w:gridCol w:w="1301"/>
        <w:gridCol w:w="1248"/>
        <w:gridCol w:w="1248"/>
        <w:gridCol w:w="1326"/>
      </w:tblGrid>
      <w:tr>
        <w:tc>
          <w:tcPr>
            <w:tcW w:type="dxa" w:w="1220"/>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88"/>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0"/>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1"/>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0"/>
            <w:vAlign w:val="center"/>
          </w:tcPr>
          <w:p>
            <w:pPr>
              <w:spacing w:before="20" w:after="20"/>
            </w:pPr>
            <w:r>
              <w:rPr>
                <w:rFonts w:ascii="游ゴシック" w:hAnsi="游ゴシック" w:eastAsia="游ゴシック"/>
                <w:b w:val="0"/>
                <w:i w:val="0"/>
                <w:sz w:val="17"/>
              </w:rPr>
              <w:t>第1段階</w:t>
            </w:r>
          </w:p>
        </w:tc>
        <w:tc>
          <w:tcPr>
            <w:tcW w:type="dxa" w:w="2188"/>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生活保護受給者、世帯全員が住民税非課税の老齢福祉年金受給者、世帯全員が住民税非課税で本人年金収入等82.65万円以下</w:t>
            </w:r>
          </w:p>
        </w:tc>
        <w:tc>
          <w:tcPr>
            <w:tcW w:type="dxa" w:w="1220"/>
            <w:vAlign w:val="center"/>
          </w:tcPr>
          <w:p>
            <w:pPr>
              <w:spacing w:before="20" w:after="20"/>
            </w:pPr>
            <w:r>
              <w:rPr>
                <w:rFonts w:ascii="游ゴシック" w:hAnsi="游ゴシック" w:eastAsia="游ゴシック"/>
                <w:b w:val="0"/>
                <w:i w:val="0"/>
                <w:sz w:val="17"/>
              </w:rPr>
              <w:t>0.285</w:t>
            </w:r>
          </w:p>
        </w:tc>
        <w:tc>
          <w:tcPr>
            <w:tcW w:type="dxa" w:w="1301"/>
            <w:vAlign w:val="center"/>
          </w:tcPr>
          <w:p>
            <w:pPr>
              <w:spacing w:before="20" w:after="20"/>
            </w:pPr>
            <w:r>
              <w:rPr>
                <w:rFonts w:ascii="游ゴシック" w:hAnsi="游ゴシック" w:eastAsia="游ゴシック"/>
                <w:b w:val="0"/>
                <w:i w:val="0"/>
                <w:sz w:val="17"/>
              </w:rPr>
              <w:t>20,800円</w:t>
            </w:r>
          </w:p>
        </w:tc>
        <w:tc>
          <w:tcPr>
            <w:tcW w:type="dxa" w:w="1248"/>
            <w:vAlign w:val="center"/>
          </w:tcPr>
          <w:p>
            <w:pPr>
              <w:spacing w:before="20" w:after="20"/>
            </w:pPr>
            <w:r>
              <w:rPr>
                <w:rFonts w:ascii="游ゴシック" w:hAnsi="游ゴシック" w:eastAsia="游ゴシック"/>
                <w:b w:val="0"/>
                <w:i w:val="0"/>
                <w:sz w:val="17"/>
              </w:rPr>
              <w:t>525人</w:t>
            </w:r>
          </w:p>
        </w:tc>
        <w:tc>
          <w:tcPr>
            <w:tcW w:type="dxa" w:w="1248"/>
            <w:vAlign w:val="center"/>
          </w:tcPr>
          <w:p>
            <w:pPr>
              <w:spacing w:before="20" w:after="20"/>
            </w:pPr>
            <w:r>
              <w:rPr>
                <w:rFonts w:ascii="游ゴシック" w:hAnsi="游ゴシック" w:eastAsia="游ゴシック"/>
                <w:b w:val="0"/>
                <w:i w:val="0"/>
                <w:sz w:val="17"/>
              </w:rPr>
              <w:t>15.2％</w:t>
            </w:r>
          </w:p>
        </w:tc>
        <w:tc>
          <w:tcPr>
            <w:tcW w:type="dxa" w:w="1326"/>
            <w:vAlign w:val="center"/>
          </w:tcPr>
          <w:p>
            <w:pPr>
              <w:spacing w:before="20" w:after="20"/>
            </w:pPr>
            <w:r>
              <w:rPr>
                <w:rFonts w:ascii="游ゴシック" w:hAnsi="游ゴシック" w:eastAsia="游ゴシック"/>
                <w:b w:val="0"/>
                <w:i w:val="0"/>
                <w:sz w:val="17"/>
              </w:rPr>
              <w:t>22,600円</w:t>
            </w:r>
          </w:p>
        </w:tc>
      </w:tr>
      <w:tr>
        <w:tc>
          <w:tcPr>
            <w:tcW w:type="dxa" w:w="1220"/>
            <w:vAlign w:val="center"/>
          </w:tcPr>
          <w:p>
            <w:pPr>
              <w:spacing w:before="20" w:after="20"/>
            </w:pPr>
            <w:r>
              <w:rPr>
                <w:rFonts w:ascii="游ゴシック" w:hAnsi="游ゴシック" w:eastAsia="游ゴシック"/>
                <w:b w:val="0"/>
                <w:i w:val="0"/>
                <w:sz w:val="17"/>
              </w:rPr>
              <w:t>第2段階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世帯全員が住民税非課税で本人年金収入等82.65万円超120万円以下</w:t>
            </w:r>
          </w:p>
        </w:tc>
        <w:tc>
          <w:tcPr>
            <w:tcW w:type="dxa" w:w="1220"/>
            <w:vAlign w:val="center"/>
          </w:tcPr>
          <w:p>
            <w:pPr>
              <w:spacing w:before="20" w:after="20"/>
            </w:pPr>
            <w:r>
              <w:rPr>
                <w:rFonts w:ascii="游ゴシック" w:hAnsi="游ゴシック" w:eastAsia="游ゴシック"/>
                <w:b w:val="0"/>
                <w:i w:val="0"/>
                <w:sz w:val="17"/>
              </w:rPr>
              <w:t>0.485</w:t>
            </w:r>
          </w:p>
        </w:tc>
        <w:tc>
          <w:tcPr>
            <w:tcW w:type="dxa" w:w="1301"/>
            <w:vAlign w:val="center"/>
          </w:tcPr>
          <w:p>
            <w:pPr>
              <w:spacing w:before="20" w:after="20"/>
            </w:pPr>
            <w:r>
              <w:rPr>
                <w:rFonts w:ascii="游ゴシック" w:hAnsi="游ゴシック" w:eastAsia="游ゴシック"/>
                <w:b w:val="0"/>
                <w:i w:val="0"/>
                <w:sz w:val="17"/>
              </w:rPr>
              <w:t>35,300円</w:t>
            </w:r>
          </w:p>
        </w:tc>
        <w:tc>
          <w:tcPr>
            <w:tcW w:type="dxa" w:w="1248"/>
            <w:vAlign w:val="center"/>
          </w:tcPr>
          <w:p>
            <w:pPr>
              <w:spacing w:before="20" w:after="20"/>
            </w:pPr>
            <w:r>
              <w:rPr>
                <w:rFonts w:ascii="游ゴシック" w:hAnsi="游ゴシック" w:eastAsia="游ゴシック"/>
                <w:b w:val="0"/>
                <w:i w:val="0"/>
                <w:sz w:val="17"/>
              </w:rPr>
              <w:t>297人</w:t>
            </w:r>
          </w:p>
        </w:tc>
        <w:tc>
          <w:tcPr>
            <w:tcW w:type="dxa" w:w="1248"/>
            <w:vAlign w:val="center"/>
          </w:tcPr>
          <w:p>
            <w:pPr>
              <w:spacing w:before="20" w:after="20"/>
            </w:pPr>
            <w:r>
              <w:rPr>
                <w:rFonts w:ascii="游ゴシック" w:hAnsi="游ゴシック" w:eastAsia="游ゴシック"/>
                <w:b w:val="0"/>
                <w:i w:val="0"/>
                <w:sz w:val="17"/>
              </w:rPr>
              <w:t>8.6％</w:t>
            </w:r>
          </w:p>
        </w:tc>
        <w:tc>
          <w:tcPr>
            <w:tcW w:type="dxa" w:w="1326"/>
            <w:vAlign w:val="center"/>
          </w:tcPr>
          <w:p>
            <w:pPr>
              <w:spacing w:before="20" w:after="20"/>
            </w:pPr>
            <w:r>
              <w:rPr>
                <w:rFonts w:ascii="游ゴシック" w:hAnsi="游ゴシック" w:eastAsia="游ゴシック"/>
                <w:b w:val="0"/>
                <w:i w:val="0"/>
                <w:sz w:val="17"/>
              </w:rPr>
              <w:t>38,500円</w:t>
            </w:r>
          </w:p>
        </w:tc>
      </w:tr>
      <w:tr>
        <w:tc>
          <w:tcPr>
            <w:tcW w:type="dxa" w:w="1220"/>
            <w:vAlign w:val="center"/>
          </w:tcPr>
          <w:p>
            <w:pPr>
              <w:spacing w:before="20" w:after="20"/>
            </w:pPr>
            <w:r>
              <w:rPr>
                <w:rFonts w:ascii="游ゴシック" w:hAnsi="游ゴシック" w:eastAsia="游ゴシック"/>
                <w:b w:val="0"/>
                <w:i w:val="0"/>
                <w:sz w:val="17"/>
              </w:rPr>
              <w:t>第3段階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0"/>
            <w:vAlign w:val="center"/>
          </w:tcPr>
          <w:p>
            <w:pPr>
              <w:spacing w:before="20" w:after="20"/>
            </w:pPr>
            <w:r>
              <w:rPr>
                <w:rFonts w:ascii="游ゴシック" w:hAnsi="游ゴシック" w:eastAsia="游ゴシック"/>
                <w:b w:val="0"/>
                <w:i w:val="0"/>
                <w:sz w:val="17"/>
              </w:rPr>
              <w:t>0.685</w:t>
            </w:r>
          </w:p>
        </w:tc>
        <w:tc>
          <w:tcPr>
            <w:tcW w:type="dxa" w:w="1301"/>
            <w:vAlign w:val="center"/>
          </w:tcPr>
          <w:p>
            <w:pPr>
              <w:spacing w:before="20" w:after="20"/>
            </w:pPr>
            <w:r>
              <w:rPr>
                <w:rFonts w:ascii="游ゴシック" w:hAnsi="游ゴシック" w:eastAsia="游ゴシック"/>
                <w:b w:val="0"/>
                <w:i w:val="0"/>
                <w:sz w:val="17"/>
              </w:rPr>
              <w:t>49,800円</w:t>
            </w:r>
          </w:p>
        </w:tc>
        <w:tc>
          <w:tcPr>
            <w:tcW w:type="dxa" w:w="1248"/>
            <w:vAlign w:val="center"/>
          </w:tcPr>
          <w:p>
            <w:pPr>
              <w:spacing w:before="20" w:after="20"/>
            </w:pPr>
            <w:r>
              <w:rPr>
                <w:rFonts w:ascii="游ゴシック" w:hAnsi="游ゴシック" w:eastAsia="游ゴシック"/>
                <w:b w:val="0"/>
                <w:i w:val="0"/>
                <w:sz w:val="17"/>
              </w:rPr>
              <w:t>272人</w:t>
            </w:r>
          </w:p>
        </w:tc>
        <w:tc>
          <w:tcPr>
            <w:tcW w:type="dxa" w:w="1248"/>
            <w:vAlign w:val="center"/>
          </w:tcPr>
          <w:p>
            <w:pPr>
              <w:spacing w:before="20" w:after="20"/>
            </w:pPr>
            <w:r>
              <w:rPr>
                <w:rFonts w:ascii="游ゴシック" w:hAnsi="游ゴシック" w:eastAsia="游ゴシック"/>
                <w:b w:val="0"/>
                <w:i w:val="0"/>
                <w:sz w:val="17"/>
              </w:rPr>
              <w:t>7.9％</w:t>
            </w:r>
          </w:p>
        </w:tc>
        <w:tc>
          <w:tcPr>
            <w:tcW w:type="dxa" w:w="1326"/>
            <w:vAlign w:val="center"/>
          </w:tcPr>
          <w:p>
            <w:pPr>
              <w:spacing w:before="20" w:after="20"/>
            </w:pPr>
            <w:r>
              <w:rPr>
                <w:rFonts w:ascii="游ゴシック" w:hAnsi="游ゴシック" w:eastAsia="游ゴシック"/>
                <w:b w:val="0"/>
                <w:i w:val="0"/>
                <w:sz w:val="17"/>
              </w:rPr>
              <w:t>54,300円</w:t>
            </w:r>
          </w:p>
        </w:tc>
      </w:tr>
      <w:tr>
        <w:tc>
          <w:tcPr>
            <w:tcW w:type="dxa" w:w="1220"/>
            <w:vAlign w:val="center"/>
          </w:tcPr>
          <w:p>
            <w:pPr>
              <w:spacing w:before="20" w:after="20"/>
            </w:pPr>
            <w:r>
              <w:rPr>
                <w:rFonts w:ascii="游ゴシック" w:hAnsi="游ゴシック" w:eastAsia="游ゴシック"/>
                <w:b w:val="0"/>
                <w:i w:val="0"/>
                <w:sz w:val="17"/>
              </w:rPr>
              <w:t>第4段階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本人が住民税非課税（世帯に課税者あり）で本人年金収入等82.65万円以下</w:t>
            </w:r>
          </w:p>
        </w:tc>
        <w:tc>
          <w:tcPr>
            <w:tcW w:type="dxa" w:w="1220"/>
            <w:vAlign w:val="center"/>
          </w:tcPr>
          <w:p>
            <w:pPr>
              <w:spacing w:before="20" w:after="20"/>
            </w:pPr>
            <w:r>
              <w:rPr>
                <w:rFonts w:ascii="游ゴシック" w:hAnsi="游ゴシック" w:eastAsia="游ゴシック"/>
                <w:b w:val="0"/>
                <w:i w:val="0"/>
                <w:sz w:val="17"/>
              </w:rPr>
              <w:t>0.900</w:t>
            </w:r>
          </w:p>
        </w:tc>
        <w:tc>
          <w:tcPr>
            <w:tcW w:type="dxa" w:w="1301"/>
            <w:vAlign w:val="center"/>
          </w:tcPr>
          <w:p>
            <w:pPr>
              <w:spacing w:before="20" w:after="20"/>
            </w:pPr>
            <w:r>
              <w:rPr>
                <w:rFonts w:ascii="游ゴシック" w:hAnsi="游ゴシック" w:eastAsia="游ゴシック"/>
                <w:b w:val="0"/>
                <w:i w:val="0"/>
                <w:sz w:val="17"/>
              </w:rPr>
              <w:t>65,400円</w:t>
            </w:r>
          </w:p>
        </w:tc>
        <w:tc>
          <w:tcPr>
            <w:tcW w:type="dxa" w:w="1248"/>
            <w:vAlign w:val="center"/>
          </w:tcPr>
          <w:p>
            <w:pPr>
              <w:spacing w:before="20" w:after="20"/>
            </w:pPr>
            <w:r>
              <w:rPr>
                <w:rFonts w:ascii="游ゴシック" w:hAnsi="游ゴシック" w:eastAsia="游ゴシック"/>
                <w:b w:val="0"/>
                <w:i w:val="0"/>
                <w:sz w:val="17"/>
              </w:rPr>
              <w:t>434人</w:t>
            </w:r>
          </w:p>
        </w:tc>
        <w:tc>
          <w:tcPr>
            <w:tcW w:type="dxa" w:w="1248"/>
            <w:vAlign w:val="center"/>
          </w:tcPr>
          <w:p>
            <w:pPr>
              <w:spacing w:before="20" w:after="20"/>
            </w:pPr>
            <w:r>
              <w:rPr>
                <w:rFonts w:ascii="游ゴシック" w:hAnsi="游ゴシック" w:eastAsia="游ゴシック"/>
                <w:b w:val="0"/>
                <w:i w:val="0"/>
                <w:sz w:val="17"/>
              </w:rPr>
              <w:t>12.6％</w:t>
            </w:r>
          </w:p>
        </w:tc>
        <w:tc>
          <w:tcPr>
            <w:tcW w:type="dxa" w:w="1326"/>
            <w:vAlign w:val="center"/>
          </w:tcPr>
          <w:p>
            <w:pPr>
              <w:spacing w:before="20" w:after="20"/>
            </w:pPr>
            <w:r>
              <w:rPr>
                <w:rFonts w:ascii="游ゴシック" w:hAnsi="游ゴシック" w:eastAsia="游ゴシック"/>
                <w:b w:val="0"/>
                <w:i w:val="0"/>
                <w:sz w:val="17"/>
              </w:rPr>
              <w:t>71,300円</w:t>
            </w:r>
          </w:p>
        </w:tc>
      </w:tr>
      <w:tr>
        <w:tc>
          <w:tcPr>
            <w:tcW w:type="dxa" w:w="1220"/>
            <w:vAlign w:val="center"/>
          </w:tcPr>
          <w:p>
            <w:pPr>
              <w:spacing w:before="20" w:after="20"/>
            </w:pPr>
            <w:r>
              <w:rPr>
                <w:rFonts w:ascii="游ゴシック" w:hAnsi="游ゴシック" w:eastAsia="游ゴシック"/>
                <w:b w:val="0"/>
                <w:i w:val="0"/>
                <w:sz w:val="17"/>
              </w:rPr>
              <w:t>第5段階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本人が住民税非課税（世帯に課税者あり）で本人年金収入等82.65万円超</w:t>
            </w:r>
          </w:p>
        </w:tc>
        <w:tc>
          <w:tcPr>
            <w:tcW w:type="dxa" w:w="1220"/>
            <w:vAlign w:val="center"/>
          </w:tcPr>
          <w:p>
            <w:pPr>
              <w:spacing w:before="20" w:after="20"/>
            </w:pPr>
            <w:r>
              <w:rPr>
                <w:rFonts w:ascii="游ゴシック" w:hAnsi="游ゴシック" w:eastAsia="游ゴシック"/>
                <w:b w:val="0"/>
                <w:i w:val="0"/>
                <w:sz w:val="17"/>
              </w:rPr>
              <w:t>1.000</w:t>
            </w:r>
          </w:p>
        </w:tc>
        <w:tc>
          <w:tcPr>
            <w:tcW w:type="dxa" w:w="1301"/>
            <w:vAlign w:val="center"/>
          </w:tcPr>
          <w:p>
            <w:pPr>
              <w:spacing w:before="20" w:after="20"/>
            </w:pPr>
            <w:r>
              <w:rPr>
                <w:rFonts w:ascii="游ゴシック" w:hAnsi="游ゴシック" w:eastAsia="游ゴシック"/>
                <w:b w:val="0"/>
                <w:i w:val="0"/>
                <w:sz w:val="17"/>
              </w:rPr>
              <w:t>72,700円</w:t>
            </w:r>
          </w:p>
        </w:tc>
        <w:tc>
          <w:tcPr>
            <w:tcW w:type="dxa" w:w="1248"/>
            <w:vAlign w:val="center"/>
          </w:tcPr>
          <w:p>
            <w:pPr>
              <w:spacing w:before="20" w:after="20"/>
            </w:pPr>
            <w:r>
              <w:rPr>
                <w:rFonts w:ascii="游ゴシック" w:hAnsi="游ゴシック" w:eastAsia="游ゴシック"/>
                <w:b w:val="0"/>
                <w:i w:val="0"/>
                <w:sz w:val="17"/>
              </w:rPr>
              <w:t>610人</w:t>
            </w:r>
          </w:p>
        </w:tc>
        <w:tc>
          <w:tcPr>
            <w:tcW w:type="dxa" w:w="1248"/>
            <w:vAlign w:val="center"/>
          </w:tcPr>
          <w:p>
            <w:pPr>
              <w:spacing w:before="20" w:after="20"/>
            </w:pPr>
            <w:r>
              <w:rPr>
                <w:rFonts w:ascii="游ゴシック" w:hAnsi="游ゴシック" w:eastAsia="游ゴシック"/>
                <w:b w:val="0"/>
                <w:i w:val="0"/>
                <w:sz w:val="17"/>
              </w:rPr>
              <w:t>17.7％</w:t>
            </w:r>
          </w:p>
        </w:tc>
        <w:tc>
          <w:tcPr>
            <w:tcW w:type="dxa" w:w="1326"/>
            <w:vAlign w:val="center"/>
          </w:tcPr>
          <w:p>
            <w:pPr>
              <w:spacing w:before="20" w:after="20"/>
            </w:pPr>
            <w:r>
              <w:rPr>
                <w:rFonts w:ascii="游ゴシック" w:hAnsi="游ゴシック" w:eastAsia="游ゴシック"/>
                <w:b w:val="0"/>
                <w:i w:val="0"/>
                <w:sz w:val="17"/>
              </w:rPr>
              <w:t>79,200円</w:t>
            </w:r>
          </w:p>
        </w:tc>
      </w:tr>
      <w:tr>
        <w:tc>
          <w:tcPr>
            <w:tcW w:type="dxa" w:w="1220"/>
            <w:vAlign w:val="center"/>
          </w:tcPr>
          <w:p>
            <w:pPr>
              <w:spacing w:before="20" w:after="20"/>
            </w:pPr>
            <w:r>
              <w:rPr>
                <w:rFonts w:ascii="游ゴシック" w:hAnsi="游ゴシック" w:eastAsia="游ゴシック"/>
                <w:b w:val="0"/>
                <w:i w:val="0"/>
                <w:sz w:val="17"/>
              </w:rPr>
              <w:t>第6段階</w:t>
            </w:r>
          </w:p>
        </w:tc>
        <w:tc>
          <w:tcPr>
            <w:tcW w:type="dxa" w:w="2188"/>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0"/>
            <w:vAlign w:val="center"/>
          </w:tcPr>
          <w:p>
            <w:pPr>
              <w:spacing w:before="20" w:after="20"/>
            </w:pPr>
            <w:r>
              <w:rPr>
                <w:rFonts w:ascii="游ゴシック" w:hAnsi="游ゴシック" w:eastAsia="游ゴシック"/>
                <w:b w:val="0"/>
                <w:i w:val="0"/>
                <w:sz w:val="17"/>
              </w:rPr>
              <w:t>1.200</w:t>
            </w:r>
          </w:p>
        </w:tc>
        <w:tc>
          <w:tcPr>
            <w:tcW w:type="dxa" w:w="1301"/>
            <w:vAlign w:val="center"/>
          </w:tcPr>
          <w:p>
            <w:pPr>
              <w:spacing w:before="20" w:after="20"/>
            </w:pPr>
            <w:r>
              <w:rPr>
                <w:rFonts w:ascii="游ゴシック" w:hAnsi="游ゴシック" w:eastAsia="游ゴシック"/>
                <w:b w:val="0"/>
                <w:i w:val="0"/>
                <w:sz w:val="17"/>
              </w:rPr>
              <w:t>87,200円</w:t>
            </w:r>
          </w:p>
        </w:tc>
        <w:tc>
          <w:tcPr>
            <w:tcW w:type="dxa" w:w="1248"/>
            <w:vAlign w:val="center"/>
          </w:tcPr>
          <w:p>
            <w:pPr>
              <w:spacing w:before="20" w:after="20"/>
            </w:pPr>
            <w:r>
              <w:rPr>
                <w:rFonts w:ascii="游ゴシック" w:hAnsi="游ゴシック" w:eastAsia="游ゴシック"/>
                <w:b w:val="0"/>
                <w:i w:val="0"/>
                <w:sz w:val="17"/>
              </w:rPr>
              <w:t>491人</w:t>
            </w:r>
          </w:p>
        </w:tc>
        <w:tc>
          <w:tcPr>
            <w:tcW w:type="dxa" w:w="1248"/>
            <w:vAlign w:val="center"/>
          </w:tcPr>
          <w:p>
            <w:pPr>
              <w:spacing w:before="20" w:after="20"/>
            </w:pPr>
            <w:r>
              <w:rPr>
                <w:rFonts w:ascii="游ゴシック" w:hAnsi="游ゴシック" w:eastAsia="游ゴシック"/>
                <w:b w:val="0"/>
                <w:i w:val="0"/>
                <w:sz w:val="17"/>
              </w:rPr>
              <w:t>14.3％</w:t>
            </w:r>
          </w:p>
        </w:tc>
        <w:tc>
          <w:tcPr>
            <w:tcW w:type="dxa" w:w="1326"/>
            <w:vAlign w:val="center"/>
          </w:tcPr>
          <w:p>
            <w:pPr>
              <w:spacing w:before="20" w:after="20"/>
            </w:pPr>
            <w:r>
              <w:rPr>
                <w:rFonts w:ascii="游ゴシック" w:hAnsi="游ゴシック" w:eastAsia="游ゴシック"/>
                <w:b w:val="0"/>
                <w:i w:val="0"/>
                <w:sz w:val="17"/>
              </w:rPr>
              <w:t>95,100円</w:t>
            </w:r>
          </w:p>
        </w:tc>
      </w:tr>
      <w:tr>
        <w:tc>
          <w:tcPr>
            <w:tcW w:type="dxa" w:w="1220"/>
            <w:vAlign w:val="center"/>
          </w:tcPr>
          <w:p>
            <w:pPr>
              <w:spacing w:before="20" w:after="20"/>
            </w:pPr>
            <w:r>
              <w:rPr>
                <w:rFonts w:ascii="游ゴシック" w:hAnsi="游ゴシック" w:eastAsia="游ゴシック"/>
                <w:b w:val="0"/>
                <w:i w:val="0"/>
                <w:sz w:val="17"/>
              </w:rPr>
              <w:t>第7段階</w:t>
            </w:r>
          </w:p>
        </w:tc>
        <w:tc>
          <w:tcPr>
            <w:tcW w:type="dxa" w:w="2188"/>
            <w:vAlign w:val="center"/>
          </w:tcPr>
          <w:p>
            <w:pPr>
              <w:spacing w:before="20" w:after="20"/>
            </w:pPr>
            <w:r>
              <w:rPr>
                <w:rFonts w:ascii="游ゴシック" w:hAnsi="游ゴシック" w:eastAsia="游ゴシック"/>
                <w:b w:val="0"/>
                <w:i w:val="0"/>
                <w:sz w:val="17"/>
              </w:rPr>
              <w:t>同　120万円以上210万円未満</w:t>
            </w:r>
          </w:p>
        </w:tc>
        <w:tc>
          <w:tcPr>
            <w:tcW w:type="dxa" w:w="1220"/>
            <w:vAlign w:val="center"/>
          </w:tcPr>
          <w:p>
            <w:pPr>
              <w:spacing w:before="20" w:after="20"/>
            </w:pPr>
            <w:r>
              <w:rPr>
                <w:rFonts w:ascii="游ゴシック" w:hAnsi="游ゴシック" w:eastAsia="游ゴシック"/>
                <w:b w:val="0"/>
                <w:i w:val="0"/>
                <w:sz w:val="17"/>
              </w:rPr>
              <w:t>1.300</w:t>
            </w:r>
          </w:p>
        </w:tc>
        <w:tc>
          <w:tcPr>
            <w:tcW w:type="dxa" w:w="1301"/>
            <w:vAlign w:val="center"/>
          </w:tcPr>
          <w:p>
            <w:pPr>
              <w:spacing w:before="20" w:after="20"/>
            </w:pPr>
            <w:r>
              <w:rPr>
                <w:rFonts w:ascii="游ゴシック" w:hAnsi="游ゴシック" w:eastAsia="游ゴシック"/>
                <w:b w:val="0"/>
                <w:i w:val="0"/>
                <w:sz w:val="17"/>
              </w:rPr>
              <w:t>94,500円</w:t>
            </w:r>
          </w:p>
        </w:tc>
        <w:tc>
          <w:tcPr>
            <w:tcW w:type="dxa" w:w="1248"/>
            <w:vAlign w:val="center"/>
          </w:tcPr>
          <w:p>
            <w:pPr>
              <w:spacing w:before="20" w:after="20"/>
            </w:pPr>
            <w:r>
              <w:rPr>
                <w:rFonts w:ascii="游ゴシック" w:hAnsi="游ゴシック" w:eastAsia="游ゴシック"/>
                <w:b w:val="0"/>
                <w:i w:val="0"/>
                <w:sz w:val="17"/>
              </w:rPr>
              <w:t>418人</w:t>
            </w:r>
          </w:p>
        </w:tc>
        <w:tc>
          <w:tcPr>
            <w:tcW w:type="dxa" w:w="1248"/>
            <w:vAlign w:val="center"/>
          </w:tcPr>
          <w:p>
            <w:pPr>
              <w:spacing w:before="20" w:after="20"/>
            </w:pPr>
            <w:r>
              <w:rPr>
                <w:rFonts w:ascii="游ゴシック" w:hAnsi="游ゴシック" w:eastAsia="游ゴシック"/>
                <w:b w:val="0"/>
                <w:i w:val="0"/>
                <w:sz w:val="17"/>
              </w:rPr>
              <w:t>12.1％</w:t>
            </w:r>
          </w:p>
        </w:tc>
        <w:tc>
          <w:tcPr>
            <w:tcW w:type="dxa" w:w="1326"/>
            <w:vAlign w:val="center"/>
          </w:tcPr>
          <w:p>
            <w:pPr>
              <w:spacing w:before="20" w:after="20"/>
            </w:pPr>
            <w:r>
              <w:rPr>
                <w:rFonts w:ascii="游ゴシック" w:hAnsi="游ゴシック" w:eastAsia="游ゴシック"/>
                <w:b w:val="0"/>
                <w:i w:val="0"/>
                <w:sz w:val="17"/>
              </w:rPr>
              <w:t>103,000円</w:t>
            </w:r>
          </w:p>
        </w:tc>
      </w:tr>
      <w:tr>
        <w:tc>
          <w:tcPr>
            <w:tcW w:type="dxa" w:w="1220"/>
            <w:vAlign w:val="center"/>
          </w:tcPr>
          <w:p>
            <w:pPr>
              <w:spacing w:before="20" w:after="20"/>
            </w:pPr>
            <w:r>
              <w:rPr>
                <w:rFonts w:ascii="游ゴシック" w:hAnsi="游ゴシック" w:eastAsia="游ゴシック"/>
                <w:b w:val="0"/>
                <w:i w:val="0"/>
                <w:sz w:val="17"/>
              </w:rPr>
              <w:t>第8段階</w:t>
            </w:r>
          </w:p>
        </w:tc>
        <w:tc>
          <w:tcPr>
            <w:tcW w:type="dxa" w:w="2188"/>
            <w:vAlign w:val="center"/>
          </w:tcPr>
          <w:p>
            <w:pPr>
              <w:spacing w:before="20" w:after="20"/>
            </w:pPr>
            <w:r>
              <w:rPr>
                <w:rFonts w:ascii="游ゴシック" w:hAnsi="游ゴシック" w:eastAsia="游ゴシック"/>
                <w:b w:val="0"/>
                <w:i w:val="0"/>
                <w:sz w:val="17"/>
              </w:rPr>
              <w:t>同　210万円以上320万円未満</w:t>
            </w:r>
          </w:p>
        </w:tc>
        <w:tc>
          <w:tcPr>
            <w:tcW w:type="dxa" w:w="1220"/>
            <w:vAlign w:val="center"/>
          </w:tcPr>
          <w:p>
            <w:pPr>
              <w:spacing w:before="20" w:after="20"/>
            </w:pPr>
            <w:r>
              <w:rPr>
                <w:rFonts w:ascii="游ゴシック" w:hAnsi="游ゴシック" w:eastAsia="游ゴシック"/>
                <w:b w:val="0"/>
                <w:i w:val="0"/>
                <w:sz w:val="17"/>
              </w:rPr>
              <w:t>1.500</w:t>
            </w:r>
          </w:p>
        </w:tc>
        <w:tc>
          <w:tcPr>
            <w:tcW w:type="dxa" w:w="1301"/>
            <w:vAlign w:val="center"/>
          </w:tcPr>
          <w:p>
            <w:pPr>
              <w:spacing w:before="20" w:after="20"/>
            </w:pPr>
            <w:r>
              <w:rPr>
                <w:rFonts w:ascii="游ゴシック" w:hAnsi="游ゴシック" w:eastAsia="游ゴシック"/>
                <w:b w:val="0"/>
                <w:i w:val="0"/>
                <w:sz w:val="17"/>
              </w:rPr>
              <w:t>109,000円</w:t>
            </w:r>
          </w:p>
        </w:tc>
        <w:tc>
          <w:tcPr>
            <w:tcW w:type="dxa" w:w="1248"/>
            <w:vAlign w:val="center"/>
          </w:tcPr>
          <w:p>
            <w:pPr>
              <w:spacing w:before="20" w:after="20"/>
            </w:pPr>
            <w:r>
              <w:rPr>
                <w:rFonts w:ascii="游ゴシック" w:hAnsi="游ゴシック" w:eastAsia="游ゴシック"/>
                <w:b w:val="0"/>
                <w:i w:val="0"/>
                <w:sz w:val="17"/>
              </w:rPr>
              <w:t>231人</w:t>
            </w:r>
          </w:p>
        </w:tc>
        <w:tc>
          <w:tcPr>
            <w:tcW w:type="dxa" w:w="1248"/>
            <w:vAlign w:val="center"/>
          </w:tcPr>
          <w:p>
            <w:pPr>
              <w:spacing w:before="20" w:after="20"/>
            </w:pPr>
            <w:r>
              <w:rPr>
                <w:rFonts w:ascii="游ゴシック" w:hAnsi="游ゴシック" w:eastAsia="游ゴシック"/>
                <w:b w:val="0"/>
                <w:i w:val="0"/>
                <w:sz w:val="17"/>
              </w:rPr>
              <w:t>6.7％</w:t>
            </w:r>
          </w:p>
        </w:tc>
        <w:tc>
          <w:tcPr>
            <w:tcW w:type="dxa" w:w="1326"/>
            <w:vAlign w:val="center"/>
          </w:tcPr>
          <w:p>
            <w:pPr>
              <w:spacing w:before="20" w:after="20"/>
            </w:pPr>
            <w:r>
              <w:rPr>
                <w:rFonts w:ascii="游ゴシック" w:hAnsi="游ゴシック" w:eastAsia="游ゴシック"/>
                <w:b w:val="0"/>
                <w:i w:val="0"/>
                <w:sz w:val="17"/>
              </w:rPr>
              <w:t>118,800円</w:t>
            </w:r>
          </w:p>
        </w:tc>
      </w:tr>
      <w:tr>
        <w:tc>
          <w:tcPr>
            <w:tcW w:type="dxa" w:w="1220"/>
            <w:vAlign w:val="center"/>
          </w:tcPr>
          <w:p>
            <w:pPr>
              <w:spacing w:before="20" w:after="20"/>
            </w:pPr>
            <w:r>
              <w:rPr>
                <w:rFonts w:ascii="游ゴシック" w:hAnsi="游ゴシック" w:eastAsia="游ゴシック"/>
                <w:b w:val="0"/>
                <w:i w:val="0"/>
                <w:sz w:val="17"/>
              </w:rPr>
              <w:t>第9段階</w:t>
            </w:r>
          </w:p>
        </w:tc>
        <w:tc>
          <w:tcPr>
            <w:tcW w:type="dxa" w:w="2188"/>
            <w:vAlign w:val="center"/>
          </w:tcPr>
          <w:p>
            <w:pPr>
              <w:spacing w:before="20" w:after="20"/>
            </w:pPr>
            <w:r>
              <w:rPr>
                <w:rFonts w:ascii="游ゴシック" w:hAnsi="游ゴシック" w:eastAsia="游ゴシック"/>
                <w:b w:val="0"/>
                <w:i w:val="0"/>
                <w:sz w:val="17"/>
              </w:rPr>
              <w:t>同　320万円以上420万円未満</w:t>
            </w:r>
          </w:p>
        </w:tc>
        <w:tc>
          <w:tcPr>
            <w:tcW w:type="dxa" w:w="1220"/>
            <w:vAlign w:val="center"/>
          </w:tcPr>
          <w:p>
            <w:pPr>
              <w:spacing w:before="20" w:after="20"/>
            </w:pPr>
            <w:r>
              <w:rPr>
                <w:rFonts w:ascii="游ゴシック" w:hAnsi="游ゴシック" w:eastAsia="游ゴシック"/>
                <w:b w:val="0"/>
                <w:i w:val="0"/>
                <w:sz w:val="17"/>
              </w:rPr>
              <w:t>1.700</w:t>
            </w:r>
          </w:p>
        </w:tc>
        <w:tc>
          <w:tcPr>
            <w:tcW w:type="dxa" w:w="1301"/>
            <w:vAlign w:val="center"/>
          </w:tcPr>
          <w:p>
            <w:pPr>
              <w:spacing w:before="20" w:after="20"/>
            </w:pPr>
            <w:r>
              <w:rPr>
                <w:rFonts w:ascii="游ゴシック" w:hAnsi="游ゴシック" w:eastAsia="游ゴシック"/>
                <w:b w:val="0"/>
                <w:i w:val="0"/>
                <w:sz w:val="17"/>
              </w:rPr>
              <w:t>123,500円</w:t>
            </w:r>
          </w:p>
        </w:tc>
        <w:tc>
          <w:tcPr>
            <w:tcW w:type="dxa" w:w="1248"/>
            <w:vAlign w:val="center"/>
          </w:tcPr>
          <w:p>
            <w:pPr>
              <w:spacing w:before="20" w:after="20"/>
            </w:pPr>
            <w:r>
              <w:rPr>
                <w:rFonts w:ascii="游ゴシック" w:hAnsi="游ゴシック" w:eastAsia="游ゴシック"/>
                <w:b w:val="0"/>
                <w:i w:val="0"/>
                <w:sz w:val="17"/>
              </w:rPr>
              <w:t>77人</w:t>
            </w:r>
          </w:p>
        </w:tc>
        <w:tc>
          <w:tcPr>
            <w:tcW w:type="dxa" w:w="1248"/>
            <w:vAlign w:val="center"/>
          </w:tcPr>
          <w:p>
            <w:pPr>
              <w:spacing w:before="20" w:after="20"/>
            </w:pPr>
            <w:r>
              <w:rPr>
                <w:rFonts w:ascii="游ゴシック" w:hAnsi="游ゴシック" w:eastAsia="游ゴシック"/>
                <w:b w:val="0"/>
                <w:i w:val="0"/>
                <w:sz w:val="17"/>
              </w:rPr>
              <w:t>2.2％</w:t>
            </w:r>
          </w:p>
        </w:tc>
        <w:tc>
          <w:tcPr>
            <w:tcW w:type="dxa" w:w="1326"/>
            <w:vAlign w:val="center"/>
          </w:tcPr>
          <w:p>
            <w:pPr>
              <w:spacing w:before="20" w:after="20"/>
            </w:pPr>
            <w:r>
              <w:rPr>
                <w:rFonts w:ascii="游ゴシック" w:hAnsi="游ゴシック" w:eastAsia="游ゴシック"/>
                <w:b w:val="0"/>
                <w:i w:val="0"/>
                <w:sz w:val="17"/>
              </w:rPr>
              <w:t>134,700円</w:t>
            </w:r>
          </w:p>
        </w:tc>
      </w:tr>
      <w:tr>
        <w:tc>
          <w:tcPr>
            <w:tcW w:type="dxa" w:w="1220"/>
            <w:vAlign w:val="center"/>
          </w:tcPr>
          <w:p>
            <w:pPr>
              <w:spacing w:before="20" w:after="20"/>
            </w:pPr>
            <w:r>
              <w:rPr>
                <w:rFonts w:ascii="游ゴシック" w:hAnsi="游ゴシック" w:eastAsia="游ゴシック"/>
                <w:b w:val="0"/>
                <w:i w:val="0"/>
                <w:sz w:val="17"/>
              </w:rPr>
              <w:t>第10段階</w:t>
            </w:r>
          </w:p>
        </w:tc>
        <w:tc>
          <w:tcPr>
            <w:tcW w:type="dxa" w:w="2188"/>
            <w:vAlign w:val="center"/>
          </w:tcPr>
          <w:p>
            <w:pPr>
              <w:spacing w:before="20" w:after="20"/>
            </w:pPr>
            <w:r>
              <w:rPr>
                <w:rFonts w:ascii="游ゴシック" w:hAnsi="游ゴシック" w:eastAsia="游ゴシック"/>
                <w:b w:val="0"/>
                <w:i w:val="0"/>
                <w:sz w:val="17"/>
              </w:rPr>
              <w:t>同　420万円以上520万円未満</w:t>
            </w:r>
          </w:p>
        </w:tc>
        <w:tc>
          <w:tcPr>
            <w:tcW w:type="dxa" w:w="1220"/>
            <w:vAlign w:val="center"/>
          </w:tcPr>
          <w:p>
            <w:pPr>
              <w:spacing w:before="20" w:after="20"/>
            </w:pPr>
            <w:r>
              <w:rPr>
                <w:rFonts w:ascii="游ゴシック" w:hAnsi="游ゴシック" w:eastAsia="游ゴシック"/>
                <w:b w:val="0"/>
                <w:i w:val="0"/>
                <w:sz w:val="17"/>
              </w:rPr>
              <w:t>1.900</w:t>
            </w:r>
          </w:p>
        </w:tc>
        <w:tc>
          <w:tcPr>
            <w:tcW w:type="dxa" w:w="1301"/>
            <w:vAlign w:val="center"/>
          </w:tcPr>
          <w:p>
            <w:pPr>
              <w:spacing w:before="20" w:after="20"/>
            </w:pPr>
            <w:r>
              <w:rPr>
                <w:rFonts w:ascii="游ゴシック" w:hAnsi="游ゴシック" w:eastAsia="游ゴシック"/>
                <w:b w:val="0"/>
                <w:i w:val="0"/>
                <w:sz w:val="17"/>
              </w:rPr>
              <w:t>138,100円</w:t>
            </w:r>
          </w:p>
        </w:tc>
        <w:tc>
          <w:tcPr>
            <w:tcW w:type="dxa" w:w="1248"/>
            <w:vAlign w:val="center"/>
          </w:tcPr>
          <w:p>
            <w:pPr>
              <w:spacing w:before="20" w:after="20"/>
            </w:pPr>
            <w:r>
              <w:rPr>
                <w:rFonts w:ascii="游ゴシック" w:hAnsi="游ゴシック" w:eastAsia="游ゴシック"/>
                <w:b w:val="0"/>
                <w:i w:val="0"/>
                <w:sz w:val="17"/>
              </w:rPr>
              <w:t>36人</w:t>
            </w:r>
          </w:p>
        </w:tc>
        <w:tc>
          <w:tcPr>
            <w:tcW w:type="dxa" w:w="1248"/>
            <w:vAlign w:val="center"/>
          </w:tcPr>
          <w:p>
            <w:pPr>
              <w:spacing w:before="20" w:after="20"/>
            </w:pPr>
            <w:r>
              <w:rPr>
                <w:rFonts w:ascii="游ゴシック" w:hAnsi="游ゴシック" w:eastAsia="游ゴシック"/>
                <w:b w:val="0"/>
                <w:i w:val="0"/>
                <w:sz w:val="17"/>
              </w:rPr>
              <w:t>1.0％</w:t>
            </w:r>
          </w:p>
        </w:tc>
        <w:tc>
          <w:tcPr>
            <w:tcW w:type="dxa" w:w="1326"/>
            <w:vAlign w:val="center"/>
          </w:tcPr>
          <w:p>
            <w:pPr>
              <w:spacing w:before="20" w:after="20"/>
            </w:pPr>
            <w:r>
              <w:rPr>
                <w:rFonts w:ascii="游ゴシック" w:hAnsi="游ゴシック" w:eastAsia="游ゴシック"/>
                <w:b w:val="0"/>
                <w:i w:val="0"/>
                <w:sz w:val="17"/>
              </w:rPr>
              <w:t>150,500円</w:t>
            </w:r>
          </w:p>
        </w:tc>
      </w:tr>
      <w:tr>
        <w:tc>
          <w:tcPr>
            <w:tcW w:type="dxa" w:w="1220"/>
            <w:vAlign w:val="center"/>
          </w:tcPr>
          <w:p>
            <w:pPr>
              <w:spacing w:before="20" w:after="20"/>
            </w:pPr>
            <w:r>
              <w:rPr>
                <w:rFonts w:ascii="游ゴシック" w:hAnsi="游ゴシック" w:eastAsia="游ゴシック"/>
                <w:b w:val="0"/>
                <w:i w:val="0"/>
                <w:sz w:val="17"/>
              </w:rPr>
              <w:t>第11段階</w:t>
            </w:r>
          </w:p>
        </w:tc>
        <w:tc>
          <w:tcPr>
            <w:tcW w:type="dxa" w:w="2188"/>
            <w:vAlign w:val="center"/>
          </w:tcPr>
          <w:p>
            <w:pPr>
              <w:spacing w:before="20" w:after="20"/>
            </w:pPr>
            <w:r>
              <w:rPr>
                <w:rFonts w:ascii="游ゴシック" w:hAnsi="游ゴシック" w:eastAsia="游ゴシック"/>
                <w:b w:val="0"/>
                <w:i w:val="0"/>
                <w:sz w:val="17"/>
              </w:rPr>
              <w:t>同　520万円以上620万円未満</w:t>
            </w:r>
          </w:p>
        </w:tc>
        <w:tc>
          <w:tcPr>
            <w:tcW w:type="dxa" w:w="1220"/>
            <w:vAlign w:val="center"/>
          </w:tcPr>
          <w:p>
            <w:pPr>
              <w:spacing w:before="20" w:after="20"/>
            </w:pPr>
            <w:r>
              <w:rPr>
                <w:rFonts w:ascii="游ゴシック" w:hAnsi="游ゴシック" w:eastAsia="游ゴシック"/>
                <w:b w:val="0"/>
                <w:i w:val="0"/>
                <w:sz w:val="17"/>
              </w:rPr>
              <w:t>2.100</w:t>
            </w:r>
          </w:p>
        </w:tc>
        <w:tc>
          <w:tcPr>
            <w:tcW w:type="dxa" w:w="1301"/>
            <w:vAlign w:val="center"/>
          </w:tcPr>
          <w:p>
            <w:pPr>
              <w:spacing w:before="20" w:after="20"/>
            </w:pPr>
            <w:r>
              <w:rPr>
                <w:rFonts w:ascii="游ゴシック" w:hAnsi="游ゴシック" w:eastAsia="游ゴシック"/>
                <w:b w:val="0"/>
                <w:i w:val="0"/>
                <w:sz w:val="17"/>
              </w:rPr>
              <w:t>152,600円</w:t>
            </w:r>
          </w:p>
        </w:tc>
        <w:tc>
          <w:tcPr>
            <w:tcW w:type="dxa" w:w="1248"/>
            <w:vAlign w:val="center"/>
          </w:tcPr>
          <w:p>
            <w:pPr>
              <w:spacing w:before="20" w:after="20"/>
            </w:pPr>
            <w:r>
              <w:rPr>
                <w:rFonts w:ascii="游ゴシック" w:hAnsi="游ゴシック" w:eastAsia="游ゴシック"/>
                <w:b w:val="0"/>
                <w:i w:val="0"/>
                <w:sz w:val="17"/>
              </w:rPr>
              <w:t>14人</w:t>
            </w:r>
          </w:p>
        </w:tc>
        <w:tc>
          <w:tcPr>
            <w:tcW w:type="dxa" w:w="1248"/>
            <w:vAlign w:val="center"/>
          </w:tcPr>
          <w:p>
            <w:pPr>
              <w:spacing w:before="20" w:after="20"/>
            </w:pPr>
            <w:r>
              <w:rPr>
                <w:rFonts w:ascii="游ゴシック" w:hAnsi="游ゴシック" w:eastAsia="游ゴシック"/>
                <w:b w:val="0"/>
                <w:i w:val="0"/>
                <w:sz w:val="17"/>
              </w:rPr>
              <w:t>0.4％</w:t>
            </w:r>
          </w:p>
        </w:tc>
        <w:tc>
          <w:tcPr>
            <w:tcW w:type="dxa" w:w="1326"/>
            <w:vAlign w:val="center"/>
          </w:tcPr>
          <w:p>
            <w:pPr>
              <w:spacing w:before="20" w:after="20"/>
            </w:pPr>
            <w:r>
              <w:rPr>
                <w:rFonts w:ascii="游ゴシック" w:hAnsi="游ゴシック" w:eastAsia="游ゴシック"/>
                <w:b w:val="0"/>
                <w:i w:val="0"/>
                <w:sz w:val="17"/>
              </w:rPr>
              <w:t>166,400円</w:t>
            </w:r>
          </w:p>
        </w:tc>
      </w:tr>
      <w:tr>
        <w:tc>
          <w:tcPr>
            <w:tcW w:type="dxa" w:w="1220"/>
            <w:vAlign w:val="center"/>
          </w:tcPr>
          <w:p>
            <w:pPr>
              <w:spacing w:before="20" w:after="20"/>
            </w:pPr>
            <w:r>
              <w:rPr>
                <w:rFonts w:ascii="游ゴシック" w:hAnsi="游ゴシック" w:eastAsia="游ゴシック"/>
                <w:b w:val="0"/>
                <w:i w:val="0"/>
                <w:sz w:val="17"/>
              </w:rPr>
              <w:t>第12段階</w:t>
            </w:r>
          </w:p>
        </w:tc>
        <w:tc>
          <w:tcPr>
            <w:tcW w:type="dxa" w:w="2188"/>
            <w:vAlign w:val="center"/>
          </w:tcPr>
          <w:p>
            <w:pPr>
              <w:spacing w:before="20" w:after="20"/>
            </w:pPr>
            <w:r>
              <w:rPr>
                <w:rFonts w:ascii="游ゴシック" w:hAnsi="游ゴシック" w:eastAsia="游ゴシック"/>
                <w:b w:val="0"/>
                <w:i w:val="0"/>
                <w:sz w:val="17"/>
              </w:rPr>
              <w:t>同　620万円以上720万円未満</w:t>
            </w:r>
          </w:p>
        </w:tc>
        <w:tc>
          <w:tcPr>
            <w:tcW w:type="dxa" w:w="1220"/>
            <w:vAlign w:val="center"/>
          </w:tcPr>
          <w:p>
            <w:pPr>
              <w:spacing w:before="20" w:after="20"/>
            </w:pPr>
            <w:r>
              <w:rPr>
                <w:rFonts w:ascii="游ゴシック" w:hAnsi="游ゴシック" w:eastAsia="游ゴシック"/>
                <w:b w:val="0"/>
                <w:i w:val="0"/>
                <w:sz w:val="17"/>
              </w:rPr>
              <w:t>2.300</w:t>
            </w:r>
          </w:p>
        </w:tc>
        <w:tc>
          <w:tcPr>
            <w:tcW w:type="dxa" w:w="1301"/>
            <w:vAlign w:val="center"/>
          </w:tcPr>
          <w:p>
            <w:pPr>
              <w:spacing w:before="20" w:after="20"/>
            </w:pPr>
            <w:r>
              <w:rPr>
                <w:rFonts w:ascii="游ゴシック" w:hAnsi="游ゴシック" w:eastAsia="游ゴシック"/>
                <w:b w:val="0"/>
                <w:i w:val="0"/>
                <w:sz w:val="17"/>
              </w:rPr>
              <w:t>167,100円</w:t>
            </w:r>
          </w:p>
        </w:tc>
        <w:tc>
          <w:tcPr>
            <w:tcW w:type="dxa" w:w="1248"/>
            <w:vAlign w:val="center"/>
          </w:tcPr>
          <w:p>
            <w:pPr>
              <w:spacing w:before="20" w:after="20"/>
            </w:pPr>
            <w:r>
              <w:rPr>
                <w:rFonts w:ascii="游ゴシック" w:hAnsi="游ゴシック" w:eastAsia="游ゴシック"/>
                <w:b w:val="0"/>
                <w:i w:val="0"/>
                <w:sz w:val="17"/>
              </w:rPr>
              <w:t>7人</w:t>
            </w:r>
          </w:p>
        </w:tc>
        <w:tc>
          <w:tcPr>
            <w:tcW w:type="dxa" w:w="1248"/>
            <w:vAlign w:val="center"/>
          </w:tcPr>
          <w:p>
            <w:pPr>
              <w:spacing w:before="20" w:after="20"/>
            </w:pPr>
            <w:r>
              <w:rPr>
                <w:rFonts w:ascii="游ゴシック" w:hAnsi="游ゴシック" w:eastAsia="游ゴシック"/>
                <w:b w:val="0"/>
                <w:i w:val="0"/>
                <w:sz w:val="17"/>
              </w:rPr>
              <w:t>0.2％</w:t>
            </w:r>
          </w:p>
        </w:tc>
        <w:tc>
          <w:tcPr>
            <w:tcW w:type="dxa" w:w="1326"/>
            <w:vAlign w:val="center"/>
          </w:tcPr>
          <w:p>
            <w:pPr>
              <w:spacing w:before="20" w:after="20"/>
            </w:pPr>
            <w:r>
              <w:rPr>
                <w:rFonts w:ascii="游ゴシック" w:hAnsi="游ゴシック" w:eastAsia="游ゴシック"/>
                <w:b w:val="0"/>
                <w:i w:val="0"/>
                <w:sz w:val="17"/>
              </w:rPr>
              <w:t>182,200円</w:t>
            </w:r>
          </w:p>
        </w:tc>
      </w:tr>
      <w:tr>
        <w:tc>
          <w:tcPr>
            <w:tcW w:type="dxa" w:w="1220"/>
            <w:vAlign w:val="center"/>
          </w:tcPr>
          <w:p>
            <w:pPr>
              <w:spacing w:before="20" w:after="20"/>
            </w:pPr>
            <w:r>
              <w:rPr>
                <w:rFonts w:ascii="游ゴシック" w:hAnsi="游ゴシック" w:eastAsia="游ゴシック"/>
                <w:b w:val="0"/>
                <w:i w:val="0"/>
                <w:sz w:val="17"/>
              </w:rPr>
              <w:t>第13段階</w:t>
            </w:r>
          </w:p>
        </w:tc>
        <w:tc>
          <w:tcPr>
            <w:tcW w:type="dxa" w:w="2188"/>
            <w:vAlign w:val="center"/>
          </w:tcPr>
          <w:p>
            <w:pPr>
              <w:spacing w:before="20" w:after="20"/>
            </w:pPr>
            <w:r>
              <w:rPr>
                <w:rFonts w:ascii="游ゴシック" w:hAnsi="游ゴシック" w:eastAsia="游ゴシック"/>
                <w:b w:val="0"/>
                <w:i w:val="0"/>
                <w:sz w:val="17"/>
              </w:rPr>
              <w:t>同　720万円以上</w:t>
            </w:r>
          </w:p>
        </w:tc>
        <w:tc>
          <w:tcPr>
            <w:tcW w:type="dxa" w:w="1220"/>
            <w:vAlign w:val="center"/>
          </w:tcPr>
          <w:p>
            <w:pPr>
              <w:spacing w:before="20" w:after="20"/>
            </w:pPr>
            <w:r>
              <w:rPr>
                <w:rFonts w:ascii="游ゴシック" w:hAnsi="游ゴシック" w:eastAsia="游ゴシック"/>
                <w:b w:val="0"/>
                <w:i w:val="0"/>
                <w:sz w:val="17"/>
              </w:rPr>
              <w:t>2.400</w:t>
            </w:r>
          </w:p>
        </w:tc>
        <w:tc>
          <w:tcPr>
            <w:tcW w:type="dxa" w:w="1301"/>
            <w:vAlign w:val="center"/>
          </w:tcPr>
          <w:p>
            <w:pPr>
              <w:spacing w:before="20" w:after="20"/>
            </w:pPr>
            <w:r>
              <w:rPr>
                <w:rFonts w:ascii="游ゴシック" w:hAnsi="游ゴシック" w:eastAsia="游ゴシック"/>
                <w:b w:val="0"/>
                <w:i w:val="0"/>
                <w:sz w:val="17"/>
              </w:rPr>
              <w:t>174,400円</w:t>
            </w:r>
          </w:p>
        </w:tc>
        <w:tc>
          <w:tcPr>
            <w:tcW w:type="dxa" w:w="1248"/>
            <w:vAlign w:val="center"/>
          </w:tcPr>
          <w:p>
            <w:pPr>
              <w:spacing w:before="20" w:after="20"/>
            </w:pPr>
            <w:r>
              <w:rPr>
                <w:rFonts w:ascii="游ゴシック" w:hAnsi="游ゴシック" w:eastAsia="游ゴシック"/>
                <w:b w:val="0"/>
                <w:i w:val="0"/>
                <w:sz w:val="17"/>
              </w:rPr>
              <w:t>31人</w:t>
            </w:r>
          </w:p>
        </w:tc>
        <w:tc>
          <w:tcPr>
            <w:tcW w:type="dxa" w:w="1248"/>
            <w:vAlign w:val="center"/>
          </w:tcPr>
          <w:p>
            <w:pPr>
              <w:spacing w:before="20" w:after="20"/>
            </w:pPr>
            <w:r>
              <w:rPr>
                <w:rFonts w:ascii="游ゴシック" w:hAnsi="游ゴシック" w:eastAsia="游ゴシック"/>
                <w:b w:val="0"/>
                <w:i w:val="0"/>
                <w:sz w:val="17"/>
              </w:rPr>
              <w:t>0.9％</w:t>
            </w:r>
          </w:p>
        </w:tc>
        <w:tc>
          <w:tcPr>
            <w:tcW w:type="dxa" w:w="1326"/>
            <w:vAlign w:val="center"/>
          </w:tcPr>
          <w:p>
            <w:pPr>
              <w:spacing w:before="20" w:after="20"/>
            </w:pPr>
            <w:r>
              <w:rPr>
                <w:rFonts w:ascii="游ゴシック" w:hAnsi="游ゴシック" w:eastAsia="游ゴシック"/>
                <w:b w:val="0"/>
                <w:i w:val="0"/>
                <w:sz w:val="17"/>
              </w:rPr>
              <w:t>190,100円</w:t>
            </w:r>
          </w:p>
        </w:tc>
      </w:tr>
      <w:tr>
        <w:tc>
          <w:tcPr>
            <w:tcW w:type="dxa" w:w="1220"/>
            <w:vAlign w:val="center"/>
          </w:tcPr>
          <w:p>
            <w:pPr>
              <w:spacing w:before="20" w:after="20"/>
            </w:pPr>
            <w:r>
              <w:rPr>
                <w:rFonts w:ascii="游ゴシック" w:hAnsi="游ゴシック" w:eastAsia="游ゴシック"/>
                <w:b/>
                <w:i w:val="0"/>
                <w:sz w:val="17"/>
              </w:rPr>
              <w:t>合計</w:t>
            </w:r>
          </w:p>
        </w:tc>
        <w:tc>
          <w:tcPr>
            <w:tcW w:type="dxa" w:w="2188"/>
            <w:vAlign w:val="center"/>
          </w:tcPr>
          <w:p>
            <w:pPr>
              <w:spacing w:before="20" w:after="20"/>
            </w:pPr>
          </w:p>
        </w:tc>
        <w:tc>
          <w:tcPr>
            <w:tcW w:type="dxa" w:w="1220"/>
            <w:vAlign w:val="center"/>
          </w:tcPr>
          <w:p>
            <w:pPr>
              <w:spacing w:before="20" w:after="20"/>
            </w:pPr>
          </w:p>
        </w:tc>
        <w:tc>
          <w:tcPr>
            <w:tcW w:type="dxa" w:w="1301"/>
            <w:vAlign w:val="center"/>
          </w:tcPr>
          <w:p>
            <w:pPr>
              <w:spacing w:before="20" w:after="20"/>
            </w:pPr>
          </w:p>
        </w:tc>
        <w:tc>
          <w:tcPr>
            <w:tcW w:type="dxa" w:w="1248"/>
            <w:vAlign w:val="center"/>
          </w:tcPr>
          <w:p>
            <w:pPr>
              <w:spacing w:before="20" w:after="20"/>
            </w:pPr>
            <w:r>
              <w:rPr>
                <w:rFonts w:ascii="游ゴシック" w:hAnsi="游ゴシック" w:eastAsia="游ゴシック"/>
                <w:b/>
                <w:i w:val="0"/>
                <w:sz w:val="17"/>
              </w:rPr>
              <w:t>3,443人</w:t>
            </w:r>
          </w:p>
        </w:tc>
        <w:tc>
          <w:tcPr>
            <w:tcW w:type="dxa" w:w="1248"/>
            <w:vAlign w:val="center"/>
          </w:tcPr>
          <w:p>
            <w:pPr>
              <w:spacing w:before="20" w:after="20"/>
            </w:pPr>
            <w:r>
              <w:rPr>
                <w:rFonts w:ascii="游ゴシック" w:hAnsi="游ゴシック" w:eastAsia="游ゴシック"/>
                <w:b/>
                <w:i w:val="0"/>
                <w:sz w:val="17"/>
              </w:rPr>
              <w:t>100.0％</w:t>
            </w:r>
          </w:p>
        </w:tc>
        <w:tc>
          <w:tcPr>
            <w:tcW w:type="dxa" w:w="1326"/>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年金収入等の基準額は、介護保険法施行令第38条（令和8年政令第274号による改正後）の82.65万円によります。</w:t>
      </w:r>
      <w:r>
        <w:rPr>
          <w:rFonts w:ascii="游ゴシック" w:hAnsi="游ゴシック" w:eastAsia="游ゴシック"/>
          <w:b w:val="0"/>
          <w:i w:val="0"/>
          <w:sz w:val="17"/>
        </w:rPr>
        <w:t>国はこの額を毎年見直す想定としているため、第10期の条例を定める時点の額で確定します（【決定後に記載】）。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標準乗率は介護保険法施行令第38条第1項が13段階について定めており、本計画が用いた13件すべてが同項と一致することを確かめています</w:t>
      </w:r>
      <w:r>
        <w:rPr>
          <w:rFonts w:ascii="游ゴシック" w:hAnsi="游ゴシック" w:eastAsia="游ゴシック"/>
          <w:b w:val="0"/>
          <w:i w:val="0"/>
          <w:sz w:val="21"/>
        </w:rPr>
        <w:t>（令和8年10月19日、e-Gov 法令APIにより確認。同項は令和9年4月1日時点でも改正されません）。</w:t>
      </w:r>
      <w:r>
        <w:rPr>
          <w:rFonts w:ascii="游ゴシック" w:hAnsi="游ゴシック" w:eastAsia="游ゴシック"/>
          <w:b/>
          <w:i w:val="0"/>
          <w:sz w:val="21"/>
        </w:rPr>
        <w:t>ただし国は、第10期に向けて、高所得者の標準乗率の見直しと、課税化に伴う上昇の緩和を含む標準段階の見直しを検討しています</w:t>
      </w:r>
      <w:r>
        <w:rPr>
          <w:rFonts w:ascii="游ゴシック" w:hAnsi="游ゴシック" w:eastAsia="游ゴシック"/>
          <w:b w:val="0"/>
          <w:i w:val="0"/>
          <w:sz w:val="21"/>
        </w:rPr>
        <w:t>（社会保障審議会介護保険部会 第136回 資料1、令和8年9月18日）。政令が改正された場合は、段階と乗率を置き直して再算定します（【決定後に記載】）。</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【表116】第6章8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【表117】地域密着型サービスの必要利用定員総数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老人福祉事業の量の目標</w:t>
      </w:r>
      <w:bookmarkEnd w:id="143"/>
    </w:p>
    <w:p>
      <w:pPr>
        <w:spacing w:before="60" w:after="60"/>
      </w:pPr>
      <w:r>
        <w:rPr>
          <w:rFonts w:ascii="游ゴシック" w:hAnsi="游ゴシック" w:eastAsia="游ゴシック"/>
          <w:b/>
          <w:i w:val="0"/>
          <w:sz w:val="21"/>
        </w:rPr>
        <w:t>本節は、老人福祉法第20条の8第2項に基づく「当該市町村の区域において確保すべき老人福祉事業の量の目標」です。</w:t>
      </w:r>
      <w:r>
        <w:rPr>
          <w:rFonts w:ascii="游ゴシック" w:hAnsi="游ゴシック" w:eastAsia="游ゴシック"/>
          <w:b w:val="0"/>
          <w:i w:val="0"/>
          <w:sz w:val="21"/>
        </w:rPr>
        <w:t xml:space="preserve"> 同項は、市町村老人福祉計画に定めることを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としています。本計画は市町村老人福祉計画と一体のものとして策定するものであり（介護保険法第117条第7項・改正後第8項）（第1章2）、本節がこれに当たります。</w:t>
      </w:r>
    </w:p>
    <w:p>
      <w:pPr>
        <w:spacing w:before="40" w:after="160"/>
        <w:ind w:left="113"/>
      </w:pPr>
      <w:r>
        <w:rPr>
          <w:rFonts w:ascii="游ゴシック" w:hAnsi="游ゴシック" w:eastAsia="游ゴシック"/>
          <w:b w:val="0"/>
          <w:i w:val="0"/>
          <w:sz w:val="17"/>
        </w:rPr>
        <w:t>※ 老人福祉法第20条の8のうち、量の目標を定める第2項は改正されません。ただし</w:t>
      </w:r>
      <w:r>
        <w:rPr>
          <w:rFonts w:ascii="游ゴシック" w:hAnsi="游ゴシック" w:eastAsia="游ゴシック"/>
          <w:b/>
          <w:i w:val="0"/>
          <w:sz w:val="17"/>
        </w:rPr>
        <w:t>第3項に第3号が新設されます</w:t>
      </w:r>
      <w:r>
        <w:rPr>
          <w:rFonts w:ascii="游ゴシック" w:hAnsi="游ゴシック" w:eastAsia="游ゴシック"/>
          <w:b w:val="0"/>
          <w:i w:val="0"/>
          <w:sz w:val="17"/>
        </w:rPr>
        <w:t>（下記）。令和9年4月1日施行。e-Gov 法令API（デジタル庁）により令和8年10月19日に確認。</w:t>
      </w:r>
    </w:p>
    <w:p>
      <w:pPr>
        <w:spacing w:before="40" w:after="160"/>
        <w:ind w:left="113"/>
      </w:pPr>
      <w:r>
        <w:rPr>
          <w:rFonts w:ascii="游ゴシック" w:hAnsi="游ゴシック" w:eastAsia="游ゴシック"/>
          <w:b/>
          <w:i w:val="0"/>
          <w:sz w:val="17"/>
        </w:rPr>
        <w:t>※ 第3項第3号（新設・努力義務）。</w:t>
      </w:r>
      <w:r>
        <w:rPr>
          <w:rFonts w:ascii="游ゴシック" w:hAnsi="游ゴシック" w:eastAsia="游ゴシック"/>
          <w:b w:val="0"/>
          <w:i w:val="0"/>
          <w:sz w:val="17"/>
        </w:rPr>
        <w:t xml:space="preserve"> 令和9年4月1日から、市町村老人福祉計画には第2項の目標のほか、</w:t>
      </w:r>
      <w:r>
        <w:rPr>
          <w:rFonts w:ascii="游ゴシック" w:hAnsi="游ゴシック" w:eastAsia="游ゴシック"/>
          <w:b/>
          <w:i w:val="0"/>
          <w:sz w:val="17"/>
        </w:rPr>
        <w:t>「老人福祉事業その他の老人の生活に直接影響を及ぼす事業を営む者と社会福祉法第4条第3項に規定する支援関係機関との連携に関する事項」</w:t>
      </w:r>
      <w:r>
        <w:rPr>
          <w:rFonts w:ascii="游ゴシック" w:hAnsi="游ゴシック" w:eastAsia="游ゴシック"/>
          <w:b w:val="0"/>
          <w:i w:val="0"/>
          <w:sz w:val="17"/>
        </w:rPr>
        <w:t>を定めるよう努めるものとされます（社会福祉法等の一部を改正する法律（令和8年法律第51号））。支援関係機関とは、地域生活課題の解決に資する支援を行う関係機関をいいます（社会福祉法第4条第3項）。</w:t>
      </w:r>
      <w:r>
        <w:rPr>
          <w:rFonts w:ascii="游ゴシック" w:hAnsi="游ゴシック" w:eastAsia="游ゴシック"/>
          <w:b/>
          <w:i w:val="0"/>
          <w:sz w:val="17"/>
        </w:rPr>
        <w:t>本計画では、第5章 基本目標2 及び第4章4（障がい福祉計画との接点）に掲げる関係機関との連携が、これに当たります。</w:t>
      </w:r>
      <w:r>
        <w:rPr>
          <w:rFonts w:ascii="游ゴシック" w:hAnsi="游ゴシック" w:eastAsia="游ゴシック"/>
          <w:b w:val="0"/>
          <w:i w:val="0"/>
          <w:sz w:val="17"/>
        </w:rPr>
        <w:t xml:space="preserve"> 老人福祉事業を営む者には、介護保険の指定を受けていない事業者（養護老人ホーム、軽費老人ホーム等）も含まれます。</w:t>
      </w:r>
    </w:p>
    <w:p>
      <w:pPr>
        <w:spacing w:before="60" w:after="60"/>
      </w:pPr>
      <w:r>
        <w:rPr>
          <w:rFonts w:ascii="游ゴシック" w:hAnsi="游ゴシック" w:eastAsia="游ゴシック"/>
          <w:b/>
          <w:i w:val="0"/>
          <w:sz w:val="21"/>
        </w:rPr>
        <w:t>老人福祉事業には、介護保険の見込量と重なるものと、重ならないものがあります。</w:t>
      </w:r>
      <w:r>
        <w:rPr>
          <w:rFonts w:ascii="游ゴシック" w:hAnsi="游ゴシック" w:eastAsia="游ゴシック"/>
          <w:b w:val="0"/>
          <w:i w:val="0"/>
          <w:sz w:val="21"/>
        </w:rPr>
        <w:t>重なるものは第6章2の見込量をそのまま老人福祉事業の量とし、重ならないものを下表に別に掲げます。</w:t>
      </w:r>
    </w:p>
    <w:p>
      <w:pPr>
        <w:keepNext/>
        <w:spacing w:before="200" w:after="40"/>
      </w:pPr>
      <w:r>
        <w:rPr>
          <w:rFonts w:ascii="游ゴシック" w:hAnsi="游ゴシック" w:eastAsia="游ゴシック"/>
          <w:b/>
          <w:i w:val="0"/>
          <w:color w:val="1F4D78"/>
          <w:sz w:val="22"/>
        </w:rPr>
        <w:t>【表118】第6章9　老人福祉事業の量の目標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老人福祉法上の事業</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68"/>
            <w:vAlign w:val="center"/>
          </w:tcPr>
          <w:p>
            <w:pPr>
              <w:spacing w:before="20" w:after="20"/>
            </w:pPr>
            <w:r>
              <w:rPr>
                <w:rFonts w:ascii="游ゴシック" w:hAnsi="游ゴシック" w:eastAsia="游ゴシック"/>
                <w:b/>
                <w:i w:val="0"/>
                <w:sz w:val="17"/>
              </w:rPr>
              <w:t>老人居宅生活支援事業</w:t>
            </w:r>
          </w:p>
        </w:tc>
        <w:tc>
          <w:tcPr>
            <w:tcW w:type="dxa" w:w="3742"/>
            <w:vAlign w:val="center"/>
          </w:tcPr>
          <w:p>
            <w:pPr>
              <w:spacing w:before="20" w:after="20"/>
            </w:pPr>
            <w:r>
              <w:rPr>
                <w:rFonts w:ascii="游ゴシック" w:hAnsi="游ゴシック" w:eastAsia="游ゴシック"/>
                <w:b w:val="0"/>
                <w:i w:val="0"/>
                <w:sz w:val="17"/>
              </w:rPr>
              <w:t>老人居宅介護等事業、老人デイサービス事業、老人短期入所事業、小規模多機能型居宅介護事業、認知症対応型老人共同生活援助事業、複合型サービス福祉事業</w:t>
            </w:r>
          </w:p>
        </w:tc>
        <w:tc>
          <w:tcPr>
            <w:tcW w:type="dxa" w:w="3742"/>
            <w:vAlign w:val="center"/>
          </w:tcPr>
          <w:p>
            <w:pPr>
              <w:spacing w:before="20" w:after="20"/>
            </w:pPr>
            <w:r>
              <w:rPr>
                <w:rFonts w:ascii="游ゴシック" w:hAnsi="游ゴシック" w:eastAsia="游ゴシック"/>
                <w:b/>
                <w:i w:val="0"/>
                <w:sz w:val="17"/>
              </w:rPr>
              <w:t>第6章2の見込量による。</w:t>
            </w:r>
            <w:r>
              <w:rPr>
                <w:rFonts w:ascii="游ゴシック" w:hAnsi="游ゴシック" w:eastAsia="游ゴシック"/>
                <w:b w:val="0"/>
                <w:i w:val="0"/>
                <w:sz w:val="17"/>
              </w:rPr>
              <w:t>訪問介護・通所介護・短期入所生活介護・小規模多機能型居宅介護・認知症対応型共同生活介護・看護小規模多機能型居宅介護が対応する</w:t>
            </w:r>
          </w:p>
        </w:tc>
      </w:tr>
      <w:tr>
        <w:tc>
          <w:tcPr>
            <w:tcW w:type="dxa" w:w="2268"/>
            <w:vAlign w:val="center"/>
          </w:tcPr>
          <w:p>
            <w:pPr>
              <w:keepNext/>
              <w:spacing w:before="20" w:after="20"/>
            </w:pPr>
            <w:r>
              <w:rPr>
                <w:rFonts w:ascii="游ゴシック" w:hAnsi="游ゴシック" w:eastAsia="游ゴシック"/>
                <w:b/>
                <w:i w:val="0"/>
                <w:sz w:val="17"/>
              </w:rPr>
              <w:t>老人福祉施設（介護保険と重なるもの）</w:t>
            </w:r>
          </w:p>
        </w:tc>
        <w:tc>
          <w:tcPr>
            <w:tcW w:type="dxa" w:w="3742"/>
            <w:vAlign w:val="center"/>
          </w:tcPr>
          <w:p>
            <w:pPr>
              <w:keepNext/>
              <w:spacing w:before="20" w:after="20"/>
            </w:pPr>
            <w:r>
              <w:rPr>
                <w:rFonts w:ascii="游ゴシック" w:hAnsi="游ゴシック" w:eastAsia="游ゴシック"/>
                <w:b w:val="0"/>
                <w:i w:val="0"/>
                <w:sz w:val="17"/>
              </w:rPr>
              <w:t>老人デイサービスセンター、老人短期入所施設、特別養護老人ホーム、老人介護支援センター</w:t>
            </w:r>
          </w:p>
        </w:tc>
        <w:tc>
          <w:tcPr>
            <w:tcW w:type="dxa" w:w="3742"/>
            <w:vAlign w:val="center"/>
          </w:tcPr>
          <w:p>
            <w:pPr>
              <w:keepNext/>
              <w:spacing w:before="20" w:after="20"/>
            </w:pPr>
            <w:r>
              <w:rPr>
                <w:rFonts w:ascii="游ゴシック" w:hAnsi="游ゴシック" w:eastAsia="游ゴシック"/>
                <w:b/>
                <w:i w:val="0"/>
                <w:sz w:val="17"/>
              </w:rPr>
              <w:t>第6章2及び第6章8による。</w:t>
            </w:r>
            <w:r>
              <w:rPr>
                <w:rFonts w:ascii="游ゴシック" w:hAnsi="游ゴシック" w:eastAsia="游ゴシック"/>
                <w:b w:val="0"/>
                <w:i w:val="0"/>
                <w:sz w:val="17"/>
              </w:rPr>
              <w:t>特別養護老人ホームは介護老人福祉施設・地域密着型介護老人福祉施設が対応する</w:t>
            </w:r>
          </w:p>
        </w:tc>
      </w:tr>
      <w:tr>
        <w:tc>
          <w:tcPr>
            <w:tcW w:type="dxa" w:w="2268"/>
            <w:vAlign w:val="center"/>
          </w:tcPr>
          <w:p>
            <w:pPr>
              <w:spacing w:before="20" w:after="20"/>
            </w:pPr>
            <w:r>
              <w:rPr>
                <w:rFonts w:ascii="游ゴシック" w:hAnsi="游ゴシック" w:eastAsia="游ゴシック"/>
                <w:b/>
                <w:i w:val="0"/>
                <w:sz w:val="17"/>
              </w:rPr>
              <w:t>老人福祉施設（介護保険と重ならないもの）</w:t>
            </w:r>
          </w:p>
        </w:tc>
        <w:tc>
          <w:tcPr>
            <w:tcW w:type="dxa" w:w="3742"/>
            <w:vAlign w:val="center"/>
          </w:tcPr>
          <w:p>
            <w:pPr>
              <w:spacing w:before="20" w:after="20"/>
            </w:pPr>
            <w:r>
              <w:rPr>
                <w:rFonts w:ascii="游ゴシック" w:hAnsi="游ゴシック" w:eastAsia="游ゴシック"/>
                <w:b/>
                <w:i w:val="0"/>
                <w:sz w:val="17"/>
              </w:rPr>
              <w:t>養護老人ホーム、軽費老人ホーム、老人福祉センター</w:t>
            </w:r>
          </w:p>
        </w:tc>
        <w:tc>
          <w:tcPr>
            <w:tcW w:type="dxa" w:w="3742"/>
            <w:vAlign w:val="center"/>
          </w:tcPr>
          <w:p>
            <w:pPr>
              <w:spacing w:before="20" w:after="20"/>
            </w:pPr>
            <w:r>
              <w:rPr>
                <w:rFonts w:ascii="游ゴシック" w:hAnsi="游ゴシック" w:eastAsia="游ゴシック"/>
                <w:b/>
                <w:i w:val="0"/>
                <w:sz w:val="17"/>
              </w:rPr>
              <w:t>介護保険の見込量にないため、別に量を置きます。</w:t>
            </w:r>
            <w:r>
              <w:rPr>
                <w:rFonts w:ascii="游ゴシック" w:hAnsi="游ゴシック" w:eastAsia="游ゴシック"/>
                <w:b w:val="0"/>
                <w:i w:val="0"/>
                <w:sz w:val="17"/>
              </w:rPr>
              <w:t>本町及び近隣の施設の状況と、措置の実績は【町データ待ち】です</w:t>
            </w:r>
          </w:p>
        </w:tc>
      </w:tr>
    </w:tbl>
    <w:p>
      <w:pPr>
        <w:spacing w:after="40"/>
      </w:pPr>
    </w:p>
    <w:p>
      <w:pPr>
        <w:keepNext/>
        <w:spacing w:before="200" w:after="40"/>
      </w:pPr>
      <w:r>
        <w:rPr>
          <w:rFonts w:ascii="游ゴシック" w:hAnsi="游ゴシック" w:eastAsia="游ゴシック"/>
          <w:b/>
          <w:i w:val="0"/>
          <w:color w:val="1F4D78"/>
          <w:sz w:val="22"/>
        </w:rPr>
        <w:t>【表119】第6章9　老人福祉事業の量の目標（2）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1914"/>
        <w:gridCol w:w="1842"/>
        <w:gridCol w:w="1842"/>
        <w:gridCol w:w="1842"/>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事業・施設</w:t>
            </w:r>
          </w:p>
        </w:tc>
        <w:tc>
          <w:tcPr>
            <w:tcW w:type="dxa" w:w="1914"/>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2"/>
            <w:vAlign w:val="center"/>
          </w:tcPr>
          <w:p>
            <w:pPr>
              <w:spacing w:before="20" w:after="20"/>
            </w:pPr>
            <w:r>
              <w:rPr>
                <w:rFonts w:ascii="游ゴシック" w:hAnsi="游ゴシック" w:eastAsia="游ゴシック"/>
                <w:b w:val="0"/>
                <w:i w:val="0"/>
                <w:sz w:val="17"/>
              </w:rPr>
              <w:t>養護老人ホーム（措置人員）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r>
        <w:tc>
          <w:tcPr>
            <w:tcW w:type="dxa" w:w="2312"/>
            <w:vAlign w:val="center"/>
          </w:tcPr>
          <w:p>
            <w:pPr>
              <w:keepNext/>
              <w:spacing w:before="20" w:after="20"/>
            </w:pPr>
            <w:r>
              <w:rPr>
                <w:rFonts w:ascii="游ゴシック" w:hAnsi="游ゴシック" w:eastAsia="游ゴシック"/>
                <w:b w:val="0"/>
                <w:i w:val="0"/>
                <w:sz w:val="17"/>
              </w:rPr>
              <w:t>軽費老人ホーム（利用人員）</w:t>
            </w:r>
          </w:p>
        </w:tc>
        <w:tc>
          <w:tcPr>
            <w:tcW w:type="dxa" w:w="1914"/>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r>
      <w:tr>
        <w:tc>
          <w:tcPr>
            <w:tcW w:type="dxa" w:w="2312"/>
            <w:vAlign w:val="center"/>
          </w:tcPr>
          <w:p>
            <w:pPr>
              <w:spacing w:before="20" w:after="20"/>
            </w:pPr>
            <w:r>
              <w:rPr>
                <w:rFonts w:ascii="游ゴシック" w:hAnsi="游ゴシック" w:eastAsia="游ゴシック"/>
                <w:b w:val="0"/>
                <w:i w:val="0"/>
                <w:sz w:val="17"/>
              </w:rPr>
              <w:t>老人福祉センター（利用延人員）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 養護老人ホームへの入所は町の措置によるものであり、介護保険の給付ではありません。</w:t>
      </w:r>
      <w:r>
        <w:rPr>
          <w:rFonts w:ascii="游ゴシック" w:hAnsi="游ゴシック" w:eastAsia="游ゴシック"/>
          <w:b w:val="0"/>
          <w:i w:val="0"/>
          <w:sz w:val="17"/>
        </w:rPr>
        <w:t xml:space="preserve"> 本町に施設がない場合は、措置先の施設と措置人員を掲げます。</w:t>
      </w:r>
      <w:r>
        <w:rPr>
          <w:rFonts w:ascii="游ゴシック" w:hAnsi="游ゴシック" w:eastAsia="游ゴシック"/>
          <w:b/>
          <w:i w:val="0"/>
          <w:sz w:val="17"/>
        </w:rPr>
        <w:t>町に確認しています（【町データ待ち】）。</w:t>
      </w:r>
      <w:r>
        <w:rPr>
          <w:rFonts w:ascii="游ゴシック" w:hAnsi="游ゴシック" w:eastAsia="游ゴシック"/>
          <w:b w:val="0"/>
          <w:i w:val="0"/>
          <w:sz w:val="17"/>
        </w:rPr>
        <w:t>※ 老人福祉センターは、本町に該当する施設があるかを含めて確認しています。</w:t>
      </w:r>
    </w:p>
    <w:p>
      <w:pPr>
        <w:spacing w:before="40" w:after="160"/>
        <w:ind w:left="113"/>
      </w:pPr>
      <w:r>
        <w:rPr>
          <w:rFonts w:ascii="游ゴシック" w:hAnsi="游ゴシック" w:eastAsia="游ゴシック"/>
          <w:b/>
          <w:i w:val="0"/>
          <w:sz w:val="17"/>
        </w:rPr>
        <w:t>※ 本町は既に措置入所を施策として掲げています。</w:t>
      </w:r>
      <w:r>
        <w:rPr>
          <w:rFonts w:ascii="游ゴシック" w:hAnsi="游ゴシック" w:eastAsia="游ゴシック"/>
          <w:b w:val="0"/>
          <w:i w:val="0"/>
          <w:sz w:val="17"/>
        </w:rPr>
        <w:t xml:space="preserve"> 第9期計画 第4章（１）② は「老人ホームなどへの入所措置」として、</w:t>
      </w:r>
      <w:r>
        <w:rPr>
          <w:rFonts w:ascii="游ゴシック" w:hAnsi="游ゴシック" w:eastAsia="游ゴシック"/>
          <w:b/>
          <w:i w:val="0"/>
          <w:sz w:val="17"/>
        </w:rPr>
        <w:t>「身体上、精神上又は環境上の理由及び経済的理由により在宅での生活が極めて困難で、高齢者の福祉に欠けると認められる高齢者を老人ホームに入所させます」</w:t>
      </w:r>
      <w:r>
        <w:rPr>
          <w:rFonts w:ascii="游ゴシック" w:hAnsi="游ゴシック" w:eastAsia="游ゴシック"/>
          <w:b w:val="0"/>
          <w:i w:val="0"/>
          <w:sz w:val="17"/>
        </w:rPr>
        <w:t>としています。</w:t>
      </w:r>
      <w:r>
        <w:rPr>
          <w:rFonts w:ascii="游ゴシック" w:hAnsi="游ゴシック" w:eastAsia="游ゴシック"/>
          <w:b/>
          <w:i w:val="0"/>
          <w:sz w:val="17"/>
        </w:rPr>
        <w:t>本節は、この施策に量の目標を付けるものです。</w:t>
      </w:r>
      <w:r>
        <w:rPr>
          <w:rFonts w:ascii="游ゴシック" w:hAnsi="游ゴシック" w:eastAsia="游ゴシック"/>
          <w:b w:val="0"/>
          <w:i w:val="0"/>
          <w:sz w:val="17"/>
        </w:rPr>
        <w:t>第10期で新たに始める事業ではありません。</w:t>
      </w:r>
    </w:p>
    <w:p>
      <w:pPr>
        <w:pStyle w:val="Heading2"/>
        <w:keepNext/>
        <w:spacing w:before="180" w:after="100"/>
      </w:pPr>
      <w:bookmarkStart w:id="144" w:name="_Toc_044"/>
      <w:r>
        <w:rPr>
          <w:rFonts w:ascii="游ゴシック" w:hAnsi="游ゴシック" w:eastAsia="游ゴシック"/>
          <w:b/>
          <w:i w:val="0"/>
          <w:color w:val="2E74B5"/>
          <w:sz w:val="25"/>
        </w:rPr>
        <w:t>10　低所得者支援</w:t>
      </w:r>
      <w:bookmarkEnd w:id="144"/>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【表120】第6章10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5" w:name="_Toc_045"/>
      <w:r>
        <w:rPr>
          <w:rFonts w:ascii="游ゴシック" w:hAnsi="游ゴシック" w:eastAsia="游ゴシック"/>
          <w:b/>
          <w:i w:val="0"/>
          <w:color w:val="2E74B5"/>
          <w:sz w:val="25"/>
        </w:rPr>
        <w:t>11　中長期の見通し（令和22年・令和32年）</w:t>
      </w:r>
      <w:bookmarkEnd w:id="145"/>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spacing w:before="60" w:after="60"/>
      </w:pPr>
      <w:r>
        <w:rPr>
          <w:rFonts w:ascii="游ゴシック" w:hAnsi="游ゴシック" w:eastAsia="游ゴシック"/>
          <w:b/>
          <w:i w:val="0"/>
          <w:sz w:val="21"/>
        </w:rPr>
        <w:t>本節の見通しは、第4章1に定めた「本町の地域包括ケアの姿」を令和22年以降も保てるかを確かめるためのものです。</w:t>
      </w:r>
    </w:p>
    <w:p>
      <w:pPr>
        <w:keepNext/>
        <w:spacing w:before="200" w:after="40"/>
      </w:pPr>
      <w:r>
        <w:rPr>
          <w:rFonts w:ascii="游ゴシック" w:hAnsi="游ゴシック" w:eastAsia="游ゴシック"/>
          <w:b/>
          <w:i w:val="0"/>
          <w:color w:val="1F4D78"/>
          <w:sz w:val="22"/>
        </w:rPr>
        <w:t>【表121】第6章11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【表122】第6章11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【表123】第6章11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6" w:name="_Toc_046"/>
      <w:r>
        <w:rPr>
          <w:rFonts w:ascii="游ゴシック" w:hAnsi="游ゴシック" w:eastAsia="游ゴシック"/>
          <w:b/>
          <w:i w:val="0"/>
          <w:color w:val="2E74B5"/>
          <w:sz w:val="25"/>
        </w:rPr>
        <w:t>12　将来に向けたサービス提供体制の確保に関する施策</w:t>
      </w:r>
      <w:bookmarkEnd w:id="146"/>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令和8年11月頃に告示の予定</w:t>
      </w:r>
      <w:r>
        <w:rPr>
          <w:rFonts w:ascii="游ゴシック" w:hAnsi="游ゴシック" w:eastAsia="游ゴシック"/>
          <w:b w:val="0"/>
          <w:i w:val="0"/>
          <w:sz w:val="17"/>
        </w:rPr>
        <w:t>です（全国介護保険担当課長会議資料（令和8年7月15日）のスケジュール）。本改正をどこまで取り込むかは、告示を待って確かめます。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r>
        <w:rPr>
          <w:rFonts w:ascii="游ゴシック" w:hAnsi="游ゴシック" w:eastAsia="游ゴシック"/>
          <w:b/>
          <w:i w:val="0"/>
          <w:sz w:val="21"/>
        </w:rPr>
        <w:t>この体制は、第4章1に定めた「本町の地域包括ケアの姿」を令和22年に向けて保つためのものです。</w:t>
      </w:r>
    </w:p>
    <w:p>
      <w:pPr>
        <w:keepNext/>
        <w:spacing w:before="200" w:after="40"/>
      </w:pPr>
      <w:r>
        <w:rPr>
          <w:rFonts w:ascii="游ゴシック" w:hAnsi="游ゴシック" w:eastAsia="游ゴシック"/>
          <w:b/>
          <w:i w:val="0"/>
          <w:color w:val="1F4D78"/>
          <w:sz w:val="22"/>
        </w:rPr>
        <w:t>【表124】第6章12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介護保険法第117条第3項第4号は、サービス提供の生産性の向上・従事者の確保・安定した経営基盤の確立について、「都道府県と連携した取組に関する事項」を定めるよう努めることとしています。</w:t>
            </w:r>
            <w:r>
              <w:rPr>
                <w:rFonts w:ascii="游ゴシック" w:hAnsi="游ゴシック" w:eastAsia="游ゴシック"/>
                <w:b w:val="0"/>
                <w:i w:val="0"/>
                <w:sz w:val="17"/>
              </w:rPr>
              <w:t xml:space="preserve"> 本町は福島県が設置する協議会（福祉人材確保・生産性向上等）に参画し、町内・圏域の事業所をつなぎます。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本町は「中山間・人口減少地域」の類型に当たります（第1章4）。</w:t>
      </w:r>
      <w:r>
        <w:rPr>
          <w:rFonts w:ascii="游ゴシック" w:hAnsi="游ゴシック" w:eastAsia="游ゴシック"/>
          <w:b w:val="0"/>
          <w:i w:val="0"/>
          <w:sz w:val="21"/>
        </w:rPr>
        <w:t>旧夏井村の区域は、介護保険の特定地域の対象となる見込みです（第1章2）。特定地域では、地域の実情に応じた人員配置基準や包括的な評価の仕組みによる「特定地域サービス」と、事業者が少ない場合に町が事業として行う「特定地域居宅サービス等事業」を使えるようになります（令和9年4月1日施行）。</w:t>
      </w:r>
      <w:r>
        <w:rPr>
          <w:rFonts w:ascii="游ゴシック" w:hAnsi="游ゴシック" w:eastAsia="游ゴシック"/>
          <w:b/>
          <w:i w:val="0"/>
          <w:sz w:val="21"/>
        </w:rPr>
        <w:t>町内の事業所の休廃止の兆しを早く把握し、既存の指定サービスでは提供が続けられなくなったときに、これらを選択肢として検討します</w:t>
      </w:r>
      <w:r>
        <w:rPr>
          <w:rFonts w:ascii="游ゴシック" w:hAnsi="游ゴシック" w:eastAsia="游ゴシック"/>
          <w:b w:val="0"/>
          <w:i w:val="0"/>
          <w:sz w:val="21"/>
        </w:rPr>
        <w:t>（対象サービスと基準は国で検討中。【決定後に記載】）。</w:t>
      </w: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なお、第10期の国の基本指針は令和8年11月頃に告示の予定です。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7" w:name="_Toc_047"/>
      <w:r>
        <w:rPr>
          <w:rFonts w:ascii="游ゴシック" w:hAnsi="游ゴシック" w:eastAsia="游ゴシック"/>
          <w:b/>
          <w:i w:val="0"/>
          <w:color w:val="2E74B5"/>
          <w:sz w:val="30"/>
        </w:rPr>
        <w:t>資料編</w:t>
      </w:r>
      <w:bookmarkEnd w:id="147"/>
    </w:p>
    <w:p>
      <w:pPr>
        <w:keepNext/>
        <w:spacing w:before="200" w:after="40"/>
      </w:pPr>
      <w:r>
        <w:rPr>
          <w:rFonts w:ascii="游ゴシック" w:hAnsi="游ゴシック" w:eastAsia="游ゴシック"/>
          <w:b/>
          <w:i w:val="0"/>
          <w:color w:val="1F4D78"/>
          <w:sz w:val="22"/>
        </w:rPr>
        <w:t>【表125】資料編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地域分析の指標</w:t>
            </w:r>
          </w:p>
        </w:tc>
        <w:tc>
          <w:tcPr>
            <w:tcW w:type="dxa" w:w="3767"/>
            <w:vAlign w:val="center"/>
          </w:tcPr>
          <w:p>
            <w:pPr>
              <w:spacing w:before="20" w:after="20"/>
            </w:pPr>
            <w:r>
              <w:rPr>
                <w:rFonts w:ascii="游ゴシック" w:hAnsi="游ゴシック" w:eastAsia="游ゴシック"/>
                <w:b/>
                <w:i w:val="0"/>
                <w:sz w:val="17"/>
              </w:rPr>
              <w:t>国の基本指針の案の別表1の指標と本計画の対応</w:t>
            </w:r>
          </w:p>
        </w:tc>
        <w:tc>
          <w:tcPr>
            <w:tcW w:type="dxa" w:w="2827"/>
            <w:vAlign w:val="center"/>
          </w:tcPr>
          <w:p>
            <w:pPr>
              <w:spacing w:before="20" w:after="20"/>
            </w:pPr>
            <w:r>
              <w:rPr>
                <w:rFonts w:ascii="游ゴシック" w:hAnsi="游ゴシック" w:eastAsia="游ゴシック"/>
                <w:b/>
                <w:i w:val="0"/>
                <w:sz w:val="17"/>
              </w:rPr>
              <w:t>本資料編12に掲載</w:t>
            </w:r>
          </w:p>
        </w:tc>
      </w:tr>
      <w:tr>
        <w:tc>
          <w:tcPr>
            <w:tcW w:type="dxa" w:w="3158"/>
            <w:vAlign w:val="center"/>
          </w:tcPr>
          <w:p>
            <w:pPr>
              <w:spacing w:before="20" w:after="20"/>
            </w:pPr>
            <w:r>
              <w:rPr>
                <w:rFonts w:ascii="游ゴシック" w:hAnsi="游ゴシック" w:eastAsia="游ゴシック"/>
                <w:b/>
                <w:i w:val="0"/>
                <w:sz w:val="17"/>
              </w:rPr>
              <w:t>13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本資料編13に掲載</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8　成果指標の定義</w:t>
      </w:r>
      <w:bookmarkEnd w:id="148"/>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【表126】資料編8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成果指標は、アウトプット指標とアウトカム指標に分けて扱います。</w:t>
      </w:r>
      <w:r>
        <w:rPr>
          <w:rFonts w:ascii="游ゴシック" w:hAnsi="游ゴシック" w:eastAsia="游ゴシック"/>
          <w:b w:val="0"/>
          <w:i w:val="0"/>
          <w:sz w:val="21"/>
        </w:rPr>
        <w:t>アウトプット指標は事業の実施量と到達（回数・件数・箇所数・受診率など）を、アウトカム指標は高齢者の状態や地域のサービス基盤の変化を測ります。第5章に置いた成果指標48件の内訳は、アウトプット指標30件、アウトカム指標18件です。</w:t>
      </w:r>
      <w:r>
        <w:rPr>
          <w:rFonts w:ascii="游ゴシック" w:hAnsi="游ゴシック" w:eastAsia="游ゴシック"/>
          <w:b/>
          <w:i w:val="0"/>
          <w:sz w:val="21"/>
        </w:rPr>
        <w:t>アウトプットが目標に届いてもアウトカムが動かないときは、事業の中身を見直します（資料編10）。</w:t>
      </w:r>
    </w:p>
    <w:p>
      <w:pPr>
        <w:keepNext/>
        <w:spacing w:before="200" w:after="40"/>
      </w:pPr>
      <w:r>
        <w:rPr>
          <w:rFonts w:ascii="游ゴシック" w:hAnsi="游ゴシック" w:eastAsia="游ゴシック"/>
          <w:b/>
          <w:i w:val="0"/>
          <w:color w:val="1F4D78"/>
          <w:sz w:val="22"/>
        </w:rPr>
        <w:t>【表127】資料編8　成果指標の定義（2）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4876"/>
        <w:gridCol w:w="170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成果指標</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種類</w:t>
            </w:r>
          </w:p>
        </w:tc>
      </w:tr>
      <w:tr>
        <w:tc>
          <w:tcPr>
            <w:tcW w:type="dxa" w:w="3175"/>
            <w:vAlign w:val="center"/>
          </w:tcPr>
          <w:p>
            <w:pPr>
              <w:spacing w:before="20" w:after="20"/>
            </w:pPr>
            <w:r>
              <w:rPr>
                <w:rFonts w:ascii="游ゴシック" w:hAnsi="游ゴシック" w:eastAsia="游ゴシック"/>
                <w:b w:val="0"/>
                <w:i w:val="0"/>
                <w:sz w:val="17"/>
              </w:rPr>
              <w:t>基本目標1① 健康づくりの推進</w:t>
            </w:r>
          </w:p>
        </w:tc>
        <w:tc>
          <w:tcPr>
            <w:tcW w:type="dxa" w:w="4876"/>
            <w:vAlign w:val="center"/>
          </w:tcPr>
          <w:p>
            <w:pPr>
              <w:spacing w:before="20" w:after="20"/>
            </w:pPr>
            <w:r>
              <w:rPr>
                <w:rFonts w:ascii="游ゴシック" w:hAnsi="游ゴシック" w:eastAsia="游ゴシック"/>
                <w:b w:val="0"/>
                <w:i w:val="0"/>
                <w:sz w:val="17"/>
              </w:rPr>
              <w:t>特定健診受診率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後期高齢者健診受診率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基本目標1② 介護予防・日常生活支援総合事業の推進</w:t>
            </w:r>
          </w:p>
        </w:tc>
        <w:tc>
          <w:tcPr>
            <w:tcW w:type="dxa" w:w="4876"/>
            <w:vAlign w:val="center"/>
          </w:tcPr>
          <w:p>
            <w:pPr>
              <w:spacing w:before="20" w:after="20"/>
            </w:pPr>
            <w:r>
              <w:rPr>
                <w:rFonts w:ascii="游ゴシック" w:hAnsi="游ゴシック" w:eastAsia="游ゴシック"/>
                <w:b w:val="0"/>
                <w:i w:val="0"/>
                <w:sz w:val="17"/>
              </w:rPr>
              <w:t>週1回以上の通いの場の箇所数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通いの場への参加率（65歳以上）</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転倒リスク該当者の割合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閉じこもり傾向該当者の割合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一般介護予防事業費</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基本目標1③ 生きがいづくりと社会参加の推進</w:t>
            </w:r>
          </w:p>
        </w:tc>
        <w:tc>
          <w:tcPr>
            <w:tcW w:type="dxa" w:w="4876"/>
            <w:vAlign w:val="center"/>
          </w:tcPr>
          <w:p>
            <w:pPr>
              <w:spacing w:before="20" w:after="20"/>
            </w:pPr>
            <w:r>
              <w:rPr>
                <w:rFonts w:ascii="游ゴシック" w:hAnsi="游ゴシック" w:eastAsia="游ゴシック"/>
                <w:b w:val="0"/>
                <w:i w:val="0"/>
                <w:sz w:val="17"/>
              </w:rPr>
              <w:t>社会的役割の低下該当者の割合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老人クラブ会員数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シルバー人材センター会員数・就業実績</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基本目標2① 地域の支え合いの支援</w:t>
            </w:r>
          </w:p>
        </w:tc>
        <w:tc>
          <w:tcPr>
            <w:tcW w:type="dxa" w:w="4876"/>
            <w:vAlign w:val="center"/>
          </w:tcPr>
          <w:p>
            <w:pPr>
              <w:spacing w:before="20" w:after="20"/>
            </w:pPr>
            <w:r>
              <w:rPr>
                <w:rFonts w:ascii="游ゴシック" w:hAnsi="游ゴシック" w:eastAsia="游ゴシック"/>
                <w:b w:val="0"/>
                <w:i w:val="0"/>
                <w:sz w:val="17"/>
              </w:rPr>
              <w:t>協議体の開催回数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地域の支え合い活動の把握件数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基本目標2② 包括的支援事業・任意事業の推進</w:t>
            </w:r>
          </w:p>
        </w:tc>
        <w:tc>
          <w:tcPr>
            <w:tcW w:type="dxa" w:w="4876"/>
            <w:vAlign w:val="center"/>
          </w:tcPr>
          <w:p>
            <w:pPr>
              <w:spacing w:before="20" w:after="20"/>
            </w:pPr>
            <w:r>
              <w:rPr>
                <w:rFonts w:ascii="游ゴシック" w:hAnsi="游ゴシック" w:eastAsia="游ゴシック"/>
                <w:b w:val="0"/>
                <w:i w:val="0"/>
                <w:sz w:val="17"/>
              </w:rPr>
              <w:t>地域包括支援センターの相談件数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地域包括支援センターの認知度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居宅介護支援事業所数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基本目標2③ 認知症施策の充実</w:t>
            </w:r>
          </w:p>
        </w:tc>
        <w:tc>
          <w:tcPr>
            <w:tcW w:type="dxa" w:w="4876"/>
            <w:vAlign w:val="center"/>
          </w:tcPr>
          <w:p>
            <w:pPr>
              <w:spacing w:before="20" w:after="20"/>
            </w:pPr>
            <w:r>
              <w:rPr>
                <w:rFonts w:ascii="游ゴシック" w:hAnsi="游ゴシック" w:eastAsia="游ゴシック"/>
                <w:b w:val="0"/>
                <w:i w:val="0"/>
                <w:sz w:val="17"/>
              </w:rPr>
              <w:t>認知症に関する相談窓口の認知度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認知症地域支援推進員の活動実績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認知症カフェの箇所数・参加者数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認知症サポーター養成講座の受講者数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基本目標2④ 災害時等の要支援者への対応</w:t>
            </w:r>
          </w:p>
        </w:tc>
        <w:tc>
          <w:tcPr>
            <w:tcW w:type="dxa" w:w="4876"/>
            <w:vAlign w:val="center"/>
          </w:tcPr>
          <w:p>
            <w:pPr>
              <w:spacing w:before="20" w:after="20"/>
            </w:pPr>
            <w:r>
              <w:rPr>
                <w:rFonts w:ascii="游ゴシック" w:hAnsi="游ゴシック" w:eastAsia="游ゴシック"/>
                <w:b w:val="0"/>
                <w:i w:val="0"/>
                <w:sz w:val="17"/>
              </w:rPr>
              <w:t>個別避難計画の策定率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福祉避難所の指定数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基本目標2⑤ 多様な生活支援の充実</w:t>
            </w:r>
          </w:p>
        </w:tc>
        <w:tc>
          <w:tcPr>
            <w:tcW w:type="dxa" w:w="4876"/>
            <w:vAlign w:val="center"/>
          </w:tcPr>
          <w:p>
            <w:pPr>
              <w:spacing w:before="20" w:after="20"/>
            </w:pPr>
            <w:r>
              <w:rPr>
                <w:rFonts w:ascii="游ゴシック" w:hAnsi="游ゴシック" w:eastAsia="游ゴシック"/>
                <w:b w:val="0"/>
                <w:i w:val="0"/>
                <w:sz w:val="17"/>
              </w:rPr>
              <w:t>移送・外出支援の利用者数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短期入所の利用者数・利用日数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配食・緊急通報等の利用者数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基本目標2⑥ 介護人材の確保とサービスの質の向上</w:t>
            </w:r>
          </w:p>
        </w:tc>
        <w:tc>
          <w:tcPr>
            <w:tcW w:type="dxa" w:w="4876"/>
            <w:vAlign w:val="center"/>
          </w:tcPr>
          <w:p>
            <w:pPr>
              <w:spacing w:before="20" w:after="20"/>
            </w:pPr>
            <w:r>
              <w:rPr>
                <w:rFonts w:ascii="游ゴシック" w:hAnsi="游ゴシック" w:eastAsia="游ゴシック"/>
                <w:b w:val="0"/>
                <w:i w:val="0"/>
                <w:sz w:val="17"/>
              </w:rPr>
              <w:t>町内介護サービス事業所数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介護サービス自給率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県事業・基金の活用件数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介護職員の定着（町内事業所の離職率）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基本目標2⑦ 在宅医療・介護連携の推進</w:t>
            </w:r>
          </w:p>
        </w:tc>
        <w:tc>
          <w:tcPr>
            <w:tcW w:type="dxa" w:w="4876"/>
            <w:vAlign w:val="center"/>
          </w:tcPr>
          <w:p>
            <w:pPr>
              <w:spacing w:before="20" w:after="20"/>
            </w:pPr>
            <w:r>
              <w:rPr>
                <w:rFonts w:ascii="游ゴシック" w:hAnsi="游ゴシック" w:eastAsia="游ゴシック"/>
                <w:b w:val="0"/>
                <w:i w:val="0"/>
                <w:sz w:val="17"/>
              </w:rPr>
              <w:t>4つの場面ごとの目指すべき姿の設定</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多職種研修の開催回数・参加者数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入院時情報連携加算の算定者数割合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退院・退所加算の算定者数割合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取組の検証の実施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基本目標3① 自立支援・重度化防止に向けた取り組み</w:t>
            </w: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要介護認定の適正化の実施状況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ケアプラン点検の実施件数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医療情報との突合の実施割合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要介護度の維持・改善率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基本目標3② 介護保険サービス等の充実</w:t>
            </w:r>
          </w:p>
        </w:tc>
        <w:tc>
          <w:tcPr>
            <w:tcW w:type="dxa" w:w="4876"/>
            <w:vAlign w:val="center"/>
          </w:tcPr>
          <w:p>
            <w:pPr>
              <w:spacing w:before="20" w:after="20"/>
            </w:pPr>
            <w:r>
              <w:rPr>
                <w:rFonts w:ascii="游ゴシック" w:hAnsi="游ゴシック" w:eastAsia="游ゴシック"/>
                <w:b w:val="0"/>
                <w:i w:val="0"/>
                <w:sz w:val="17"/>
              </w:rPr>
              <w:t>在宅サービス受給率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認定者に対する受給者の比率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サービス未利用者の割合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未利用理由の把握状況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介護老人福祉施設の町内自給率</w:t>
            </w:r>
          </w:p>
        </w:tc>
        <w:tc>
          <w:tcPr>
            <w:tcW w:type="dxa" w:w="1701"/>
            <w:vAlign w:val="center"/>
          </w:tcPr>
          <w:p>
            <w:pPr>
              <w:spacing w:before="20" w:after="20"/>
            </w:pPr>
            <w:r>
              <w:rPr>
                <w:rFonts w:ascii="游ゴシック" w:hAnsi="游ゴシック" w:eastAsia="游ゴシック"/>
                <w:b w:val="0"/>
                <w:i w:val="0"/>
                <w:sz w:val="17"/>
              </w:rPr>
              <w:t>アウトカム</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9　年次評価の様式</w:t>
      </w:r>
      <w:bookmarkEnd w:id="149"/>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【表128】資料編9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50" w:name="_Toc_050"/>
      <w:r>
        <w:rPr>
          <w:rFonts w:ascii="游ゴシック" w:hAnsi="游ゴシック" w:eastAsia="游ゴシック"/>
          <w:b/>
          <w:i w:val="0"/>
          <w:color w:val="2E74B5"/>
          <w:sz w:val="25"/>
        </w:rPr>
        <w:t>10　施策の見直しの基準</w:t>
      </w:r>
      <w:bookmarkEnd w:id="150"/>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【表129】資料編10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11　主な参照資料</w:t>
      </w:r>
      <w:bookmarkEnd w:id="151"/>
    </w:p>
    <w:p>
      <w:pPr>
        <w:keepNext/>
        <w:spacing w:before="200" w:after="40"/>
      </w:pPr>
      <w:r>
        <w:rPr>
          <w:rFonts w:ascii="游ゴシック" w:hAnsi="游ゴシック" w:eastAsia="游ゴシック"/>
          <w:b/>
          <w:i w:val="0"/>
          <w:color w:val="1F4D78"/>
          <w:sz w:val="22"/>
        </w:rPr>
        <w:t>【表130】資料編11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2" w:name="_Toc_052"/>
      <w:r>
        <w:rPr>
          <w:rFonts w:ascii="游ゴシック" w:hAnsi="游ゴシック" w:eastAsia="游ゴシック"/>
          <w:b/>
          <w:i w:val="0"/>
          <w:color w:val="2E74B5"/>
          <w:sz w:val="25"/>
        </w:rPr>
        <w:t>12　地域分析の指標（国の基本指針の案の別表1）</w:t>
      </w:r>
      <w:bookmarkEnd w:id="152"/>
    </w:p>
    <w:p>
      <w:pPr>
        <w:spacing w:before="60" w:after="60"/>
      </w:pPr>
      <w:r>
        <w:rPr>
          <w:rFonts w:ascii="游ゴシック" w:hAnsi="游ゴシック" w:eastAsia="游ゴシック"/>
          <w:b/>
          <w:i w:val="0"/>
          <w:sz w:val="21"/>
        </w:rPr>
        <w:t>国の第10期の基本指針の案は、新たに別表1を設け、計画の策定に当たって確認すべき指標・状況を11の事項に分けて示しています。</w:t>
      </w:r>
      <w:r>
        <w:rPr>
          <w:rFonts w:ascii="游ゴシック" w:hAnsi="游ゴシック" w:eastAsia="游ゴシック"/>
          <w:b w:val="0"/>
          <w:i w:val="0"/>
          <w:sz w:val="21"/>
        </w:rPr>
        <w:t xml:space="preserve"> 本計画で把握しているものと、まだ取れていないものは次のとおりです。</w:t>
      </w:r>
    </w:p>
    <w:p>
      <w:pPr>
        <w:keepNext/>
        <w:spacing w:before="200" w:after="40"/>
      </w:pPr>
      <w:r>
        <w:rPr>
          <w:rFonts w:ascii="游ゴシック" w:hAnsi="游ゴシック" w:eastAsia="游ゴシック"/>
          <w:b/>
          <w:i w:val="0"/>
          <w:color w:val="1F4D78"/>
          <w:sz w:val="22"/>
        </w:rPr>
        <w:t>【表131】資料編12　地域分析の指標（国の基本指針の案の別表1）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402"/>
        <w:gridCol w:w="2041"/>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確認すべき指標・状況（主なもの）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本計画の箇所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8"/>
            <w:vAlign w:val="center"/>
          </w:tcPr>
          <w:p>
            <w:pPr>
              <w:spacing w:before="20" w:after="20"/>
            </w:pPr>
            <w:r>
              <w:rPr>
                <w:rFonts w:ascii="游ゴシック" w:hAnsi="游ゴシック" w:eastAsia="游ゴシック"/>
                <w:b w:val="0"/>
                <w:i w:val="0"/>
                <w:sz w:val="17"/>
              </w:rPr>
              <w:t>一　地勢と交通</w:t>
            </w:r>
          </w:p>
        </w:tc>
        <w:tc>
          <w:tcPr>
            <w:tcW w:type="dxa" w:w="3402"/>
            <w:vAlign w:val="center"/>
          </w:tcPr>
          <w:p>
            <w:pPr>
              <w:spacing w:before="20" w:after="20"/>
            </w:pPr>
            <w:r>
              <w:rPr>
                <w:rFonts w:ascii="游ゴシック" w:hAnsi="游ゴシック" w:eastAsia="游ゴシック"/>
                <w:b w:val="0"/>
                <w:i w:val="0"/>
                <w:sz w:val="17"/>
              </w:rPr>
              <w:t>地域特性、交通機関の状況、地理的状況</w:t>
            </w:r>
          </w:p>
        </w:tc>
        <w:tc>
          <w:tcPr>
            <w:tcW w:type="dxa" w:w="2041"/>
            <w:vAlign w:val="center"/>
          </w:tcPr>
          <w:p>
            <w:pPr>
              <w:spacing w:before="20" w:after="20"/>
            </w:pPr>
            <w:r>
              <w:rPr>
                <w:rFonts w:ascii="游ゴシック" w:hAnsi="游ゴシック" w:eastAsia="游ゴシック"/>
                <w:b w:val="0"/>
                <w:i w:val="0"/>
                <w:sz w:val="17"/>
              </w:rPr>
              <w:t>第1章5</w:t>
            </w:r>
          </w:p>
        </w:tc>
        <w:tc>
          <w:tcPr>
            <w:tcW w:type="dxa" w:w="2381"/>
            <w:vAlign w:val="center"/>
          </w:tcPr>
          <w:p>
            <w:pPr>
              <w:spacing w:before="20" w:after="20"/>
            </w:pPr>
            <w:r>
              <w:rPr>
                <w:rFonts w:ascii="游ゴシック" w:hAnsi="游ゴシック" w:eastAsia="游ゴシック"/>
                <w:b w:val="0"/>
                <w:i w:val="0"/>
                <w:sz w:val="17"/>
              </w:rPr>
              <w:t>町の面積・公共交通の運行状況は【町データ待ち】</w:t>
            </w:r>
          </w:p>
        </w:tc>
      </w:tr>
      <w:tr>
        <w:tc>
          <w:tcPr>
            <w:tcW w:type="dxa" w:w="1928"/>
            <w:vAlign w:val="center"/>
          </w:tcPr>
          <w:p>
            <w:pPr>
              <w:spacing w:before="20" w:after="20"/>
            </w:pPr>
            <w:r>
              <w:rPr>
                <w:rFonts w:ascii="游ゴシック" w:hAnsi="游ゴシック" w:eastAsia="游ゴシック"/>
                <w:b w:val="0"/>
                <w:i w:val="0"/>
                <w:sz w:val="17"/>
              </w:rPr>
              <w:t>二　人口構造</w:t>
            </w:r>
          </w:p>
        </w:tc>
        <w:tc>
          <w:tcPr>
            <w:tcW w:type="dxa" w:w="3402"/>
            <w:vAlign w:val="center"/>
          </w:tcPr>
          <w:p>
            <w:pPr>
              <w:spacing w:before="20" w:after="20"/>
            </w:pPr>
            <w:r>
              <w:rPr>
                <w:rFonts w:ascii="游ゴシック" w:hAnsi="游ゴシック" w:eastAsia="游ゴシック"/>
                <w:b w:val="0"/>
                <w:i w:val="0"/>
                <w:sz w:val="17"/>
              </w:rPr>
              <w:t>年齢三区分人口、高齢化率、世帯数（単身高齢・高齢夫婦のみ）</w:t>
            </w:r>
          </w:p>
        </w:tc>
        <w:tc>
          <w:tcPr>
            <w:tcW w:type="dxa" w:w="2041"/>
            <w:vAlign w:val="center"/>
          </w:tcPr>
          <w:p>
            <w:pPr>
              <w:spacing w:before="20" w:after="20"/>
            </w:pPr>
            <w:r>
              <w:rPr>
                <w:rFonts w:ascii="游ゴシック" w:hAnsi="游ゴシック" w:eastAsia="游ゴシック"/>
                <w:b w:val="0"/>
                <w:i w:val="0"/>
                <w:sz w:val="17"/>
              </w:rPr>
              <w:t>第2章1・6</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三　人口動態</w:t>
            </w:r>
          </w:p>
        </w:tc>
        <w:tc>
          <w:tcPr>
            <w:tcW w:type="dxa" w:w="3402"/>
            <w:vAlign w:val="center"/>
          </w:tcPr>
          <w:p>
            <w:pPr>
              <w:spacing w:before="20" w:after="20"/>
            </w:pPr>
            <w:r>
              <w:rPr>
                <w:rFonts w:ascii="游ゴシック" w:hAnsi="游ゴシック" w:eastAsia="游ゴシック"/>
                <w:b w:val="0"/>
                <w:i w:val="0"/>
                <w:sz w:val="17"/>
              </w:rPr>
              <w:t>出生数、死亡数、健康寿命、死亡場所別の死亡数</w:t>
            </w:r>
          </w:p>
        </w:tc>
        <w:tc>
          <w:tcPr>
            <w:tcW w:type="dxa" w:w="2041"/>
            <w:vAlign w:val="center"/>
          </w:tcPr>
          <w:p>
            <w:pPr>
              <w:spacing w:before="20" w:after="20"/>
            </w:pPr>
            <w:r>
              <w:rPr>
                <w:rFonts w:ascii="游ゴシック" w:hAnsi="游ゴシック" w:eastAsia="游ゴシック"/>
                <w:b w:val="0"/>
                <w:i w:val="0"/>
                <w:sz w:val="17"/>
              </w:rPr>
              <w:t>第2章1</w:t>
            </w:r>
          </w:p>
        </w:tc>
        <w:tc>
          <w:tcPr>
            <w:tcW w:type="dxa" w:w="2381"/>
            <w:vAlign w:val="center"/>
          </w:tcPr>
          <w:p>
            <w:pPr>
              <w:spacing w:before="20" w:after="20"/>
            </w:pPr>
            <w:r>
              <w:rPr>
                <w:rFonts w:ascii="游ゴシック" w:hAnsi="游ゴシック" w:eastAsia="游ゴシック"/>
                <w:b w:val="0"/>
                <w:i w:val="0"/>
                <w:sz w:val="17"/>
              </w:rPr>
              <w:t>死亡場所別の死亡数は【見える化出力待ち】</w:t>
            </w:r>
          </w:p>
        </w:tc>
      </w:tr>
      <w:tr>
        <w:tc>
          <w:tcPr>
            <w:tcW w:type="dxa" w:w="1928"/>
            <w:vAlign w:val="center"/>
          </w:tcPr>
          <w:p>
            <w:pPr>
              <w:spacing w:before="20" w:after="20"/>
            </w:pPr>
            <w:r>
              <w:rPr>
                <w:rFonts w:ascii="游ゴシック" w:hAnsi="游ゴシック" w:eastAsia="游ゴシック"/>
                <w:b w:val="0"/>
                <w:i w:val="0"/>
                <w:sz w:val="17"/>
              </w:rPr>
              <w:t>四　認定者数の状況</w:t>
            </w:r>
          </w:p>
        </w:tc>
        <w:tc>
          <w:tcPr>
            <w:tcW w:type="dxa" w:w="3402"/>
            <w:vAlign w:val="center"/>
          </w:tcPr>
          <w:p>
            <w:pPr>
              <w:spacing w:before="20" w:after="20"/>
            </w:pPr>
            <w:r>
              <w:rPr>
                <w:rFonts w:ascii="游ゴシック" w:hAnsi="游ゴシック" w:eastAsia="游ゴシック"/>
                <w:b w:val="0"/>
                <w:i w:val="0"/>
                <w:sz w:val="17"/>
              </w:rPr>
              <w:t>要介護度別の認定者数、年齢調整後の認定率</w:t>
            </w:r>
          </w:p>
        </w:tc>
        <w:tc>
          <w:tcPr>
            <w:tcW w:type="dxa" w:w="2041"/>
            <w:vAlign w:val="center"/>
          </w:tcPr>
          <w:p>
            <w:pPr>
              <w:spacing w:before="20" w:after="20"/>
            </w:pPr>
            <w:r>
              <w:rPr>
                <w:rFonts w:ascii="游ゴシック" w:hAnsi="游ゴシック" w:eastAsia="游ゴシック"/>
                <w:b w:val="0"/>
                <w:i w:val="0"/>
                <w:sz w:val="17"/>
              </w:rPr>
              <w:t>第2章3</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五　介護サービス等の利用状況</w:t>
            </w:r>
          </w:p>
        </w:tc>
        <w:tc>
          <w:tcPr>
            <w:tcW w:type="dxa" w:w="3402"/>
            <w:vAlign w:val="center"/>
          </w:tcPr>
          <w:p>
            <w:pPr>
              <w:spacing w:before="20" w:after="20"/>
            </w:pPr>
            <w:r>
              <w:rPr>
                <w:rFonts w:ascii="游ゴシック" w:hAnsi="游ゴシック" w:eastAsia="游ゴシック"/>
                <w:b w:val="0"/>
                <w:i w:val="0"/>
                <w:sz w:val="17"/>
              </w:rPr>
              <w:t>受給率、町内事業所による提供割合、1人当たり費用額、介護SCR</w:t>
            </w:r>
          </w:p>
        </w:tc>
        <w:tc>
          <w:tcPr>
            <w:tcW w:type="dxa" w:w="2041"/>
            <w:vAlign w:val="center"/>
          </w:tcPr>
          <w:p>
            <w:pPr>
              <w:spacing w:before="20" w:after="20"/>
            </w:pPr>
            <w:r>
              <w:rPr>
                <w:rFonts w:ascii="游ゴシック" w:hAnsi="游ゴシック" w:eastAsia="游ゴシック"/>
                <w:b w:val="0"/>
                <w:i w:val="0"/>
                <w:sz w:val="17"/>
              </w:rPr>
              <w:t>第2章3・5</w:t>
            </w:r>
          </w:p>
        </w:tc>
        <w:tc>
          <w:tcPr>
            <w:tcW w:type="dxa" w:w="2381"/>
            <w:vAlign w:val="center"/>
          </w:tcPr>
          <w:p>
            <w:pPr>
              <w:spacing w:before="20" w:after="20"/>
            </w:pPr>
            <w:r>
              <w:rPr>
                <w:rFonts w:ascii="游ゴシック" w:hAnsi="游ゴシック" w:eastAsia="游ゴシック"/>
                <w:b w:val="0"/>
                <w:i w:val="0"/>
                <w:sz w:val="17"/>
              </w:rPr>
              <w:t>介護SCR（性・年齢調整済みレセプト出現比）は【見える化出力待ち】</w:t>
            </w:r>
          </w:p>
        </w:tc>
      </w:tr>
      <w:tr>
        <w:tc>
          <w:tcPr>
            <w:tcW w:type="dxa" w:w="1928"/>
            <w:vAlign w:val="center"/>
          </w:tcPr>
          <w:p>
            <w:pPr>
              <w:spacing w:before="20" w:after="20"/>
            </w:pPr>
            <w:r>
              <w:rPr>
                <w:rFonts w:ascii="游ゴシック" w:hAnsi="游ゴシック" w:eastAsia="游ゴシック"/>
                <w:b w:val="0"/>
                <w:i w:val="0"/>
                <w:sz w:val="17"/>
              </w:rPr>
              <w:t>六　介護サービス見込量</w:t>
            </w:r>
          </w:p>
        </w:tc>
        <w:tc>
          <w:tcPr>
            <w:tcW w:type="dxa" w:w="3402"/>
            <w:vAlign w:val="center"/>
          </w:tcPr>
          <w:p>
            <w:pPr>
              <w:spacing w:before="20" w:after="20"/>
            </w:pPr>
            <w:r>
              <w:rPr>
                <w:rFonts w:ascii="游ゴシック" w:hAnsi="游ゴシック" w:eastAsia="游ゴシック"/>
                <w:b w:val="0"/>
                <w:i w:val="0"/>
                <w:sz w:val="17"/>
              </w:rPr>
              <w:t>サービス別の見込量、計画と実績の乖離、家族の就業の状況</w:t>
            </w:r>
          </w:p>
        </w:tc>
        <w:tc>
          <w:tcPr>
            <w:tcW w:type="dxa" w:w="2041"/>
            <w:vAlign w:val="center"/>
          </w:tcPr>
          <w:p>
            <w:pPr>
              <w:spacing w:before="20" w:after="20"/>
            </w:pPr>
            <w:r>
              <w:rPr>
                <w:rFonts w:ascii="游ゴシック" w:hAnsi="游ゴシック" w:eastAsia="游ゴシック"/>
                <w:b w:val="0"/>
                <w:i w:val="0"/>
                <w:sz w:val="17"/>
              </w:rPr>
              <w:t>第2章2・第3章3・第6章2</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七　介護保険施設・事業所の状況</w:t>
            </w:r>
          </w:p>
        </w:tc>
        <w:tc>
          <w:tcPr>
            <w:tcW w:type="dxa" w:w="3402"/>
            <w:vAlign w:val="center"/>
          </w:tcPr>
          <w:p>
            <w:pPr>
              <w:spacing w:before="20" w:after="20"/>
            </w:pPr>
            <w:r>
              <w:rPr>
                <w:rFonts w:ascii="游ゴシック" w:hAnsi="游ゴシック" w:eastAsia="游ゴシック"/>
                <w:b w:val="0"/>
                <w:i w:val="0"/>
                <w:sz w:val="17"/>
              </w:rPr>
              <w:t>事業所数、利用者数、入所率、稼働率、従事者数</w:t>
            </w:r>
          </w:p>
        </w:tc>
        <w:tc>
          <w:tcPr>
            <w:tcW w:type="dxa" w:w="2041"/>
            <w:vAlign w:val="center"/>
          </w:tcPr>
          <w:p>
            <w:pPr>
              <w:spacing w:before="20" w:after="20"/>
            </w:pPr>
            <w:r>
              <w:rPr>
                <w:rFonts w:ascii="游ゴシック" w:hAnsi="游ゴシック" w:eastAsia="游ゴシック"/>
                <w:b w:val="0"/>
                <w:i w:val="0"/>
                <w:sz w:val="17"/>
              </w:rPr>
              <w:t>第2章5</w:t>
            </w:r>
          </w:p>
        </w:tc>
        <w:tc>
          <w:tcPr>
            <w:tcW w:type="dxa" w:w="2381"/>
            <w:vAlign w:val="center"/>
          </w:tcPr>
          <w:p>
            <w:pPr>
              <w:spacing w:before="20" w:after="20"/>
            </w:pPr>
            <w:r>
              <w:rPr>
                <w:rFonts w:ascii="游ゴシック" w:hAnsi="游ゴシック" w:eastAsia="游ゴシック"/>
                <w:b w:val="0"/>
                <w:i w:val="0"/>
                <w:sz w:val="17"/>
              </w:rPr>
              <w:t>事業所別の稼働率・従事者数は【町データ待ち】</w:t>
            </w:r>
          </w:p>
        </w:tc>
      </w:tr>
      <w:tr>
        <w:tc>
          <w:tcPr>
            <w:tcW w:type="dxa" w:w="1928"/>
            <w:vAlign w:val="center"/>
          </w:tcPr>
          <w:p>
            <w:pPr>
              <w:spacing w:before="20" w:after="20"/>
            </w:pPr>
            <w:r>
              <w:rPr>
                <w:rFonts w:ascii="游ゴシック" w:hAnsi="游ゴシック" w:eastAsia="游ゴシック"/>
                <w:b w:val="0"/>
                <w:i w:val="0"/>
                <w:sz w:val="17"/>
              </w:rPr>
              <w:t>八　高齢者向け住まいの状況</w:t>
            </w:r>
          </w:p>
        </w:tc>
        <w:tc>
          <w:tcPr>
            <w:tcW w:type="dxa" w:w="3402"/>
            <w:vAlign w:val="center"/>
          </w:tcPr>
          <w:p>
            <w:pPr>
              <w:spacing w:before="20" w:after="20"/>
            </w:pPr>
            <w:r>
              <w:rPr>
                <w:rFonts w:ascii="游ゴシック" w:hAnsi="游ゴシック" w:eastAsia="游ゴシック"/>
                <w:b w:val="0"/>
                <w:i w:val="0"/>
                <w:sz w:val="17"/>
              </w:rPr>
              <w:t>有料老人ホーム等の定員、要介護者である入居者の状況</w:t>
            </w:r>
          </w:p>
        </w:tc>
        <w:tc>
          <w:tcPr>
            <w:tcW w:type="dxa" w:w="2041"/>
            <w:vAlign w:val="center"/>
          </w:tcPr>
          <w:p>
            <w:pPr>
              <w:spacing w:before="20" w:after="20"/>
            </w:pPr>
            <w:r>
              <w:rPr>
                <w:rFonts w:ascii="游ゴシック" w:hAnsi="游ゴシック" w:eastAsia="游ゴシック"/>
                <w:b w:val="0"/>
                <w:i w:val="0"/>
                <w:sz w:val="17"/>
              </w:rPr>
              <w:t>第2章5・第6章2</w:t>
            </w:r>
          </w:p>
        </w:tc>
        <w:tc>
          <w:tcPr>
            <w:tcW w:type="dxa" w:w="2381"/>
            <w:vAlign w:val="center"/>
          </w:tcPr>
          <w:p>
            <w:pPr>
              <w:spacing w:before="20" w:after="20"/>
            </w:pPr>
            <w:r>
              <w:rPr>
                <w:rFonts w:ascii="游ゴシック" w:hAnsi="游ゴシック" w:eastAsia="游ゴシック"/>
                <w:b w:val="0"/>
                <w:i w:val="0"/>
                <w:sz w:val="17"/>
              </w:rPr>
              <w:t>入居定員総数は県から提供を受ける（【町データ待ち】）</w:t>
            </w:r>
          </w:p>
        </w:tc>
      </w:tr>
      <w:tr>
        <w:tc>
          <w:tcPr>
            <w:tcW w:type="dxa" w:w="1928"/>
            <w:vAlign w:val="center"/>
          </w:tcPr>
          <w:p>
            <w:pPr>
              <w:spacing w:before="20" w:after="20"/>
            </w:pPr>
            <w:r>
              <w:rPr>
                <w:rFonts w:ascii="游ゴシック" w:hAnsi="游ゴシック" w:eastAsia="游ゴシック"/>
                <w:b w:val="0"/>
                <w:i w:val="0"/>
                <w:sz w:val="17"/>
              </w:rPr>
              <w:t>九　地域支援事業の状況</w:t>
            </w:r>
          </w:p>
        </w:tc>
        <w:tc>
          <w:tcPr>
            <w:tcW w:type="dxa" w:w="3402"/>
            <w:vAlign w:val="center"/>
          </w:tcPr>
          <w:p>
            <w:pPr>
              <w:spacing w:before="20" w:after="20"/>
            </w:pPr>
            <w:r>
              <w:rPr>
                <w:rFonts w:ascii="游ゴシック" w:hAnsi="游ゴシック" w:eastAsia="游ゴシック"/>
                <w:b w:val="0"/>
                <w:i w:val="0"/>
                <w:sz w:val="17"/>
              </w:rPr>
              <w:t>通いの場の数・参加者数、地域包括支援センターの相談体制</w:t>
            </w:r>
          </w:p>
        </w:tc>
        <w:tc>
          <w:tcPr>
            <w:tcW w:type="dxa" w:w="2041"/>
            <w:vAlign w:val="center"/>
          </w:tcPr>
          <w:p>
            <w:pPr>
              <w:spacing w:before="20" w:after="20"/>
            </w:pPr>
            <w:r>
              <w:rPr>
                <w:rFonts w:ascii="游ゴシック" w:hAnsi="游ゴシック" w:eastAsia="游ゴシック"/>
                <w:b w:val="0"/>
                <w:i w:val="0"/>
                <w:sz w:val="17"/>
              </w:rPr>
              <w:t>第3章2・第5章 基本目標1②・2②</w:t>
            </w:r>
          </w:p>
        </w:tc>
        <w:tc>
          <w:tcPr>
            <w:tcW w:type="dxa" w:w="2381"/>
            <w:vAlign w:val="center"/>
          </w:tcPr>
          <w:p>
            <w:pPr>
              <w:spacing w:before="20" w:after="20"/>
            </w:pPr>
            <w:r>
              <w:rPr>
                <w:rFonts w:ascii="游ゴシック" w:hAnsi="游ゴシック" w:eastAsia="游ゴシック"/>
                <w:b w:val="0"/>
                <w:i w:val="0"/>
                <w:sz w:val="17"/>
              </w:rPr>
              <w:t>相談件数は【町データ待ち】</w:t>
            </w:r>
          </w:p>
        </w:tc>
      </w:tr>
      <w:tr>
        <w:tc>
          <w:tcPr>
            <w:tcW w:type="dxa" w:w="1928"/>
            <w:vAlign w:val="center"/>
          </w:tcPr>
          <w:p>
            <w:pPr>
              <w:keepNext/>
              <w:spacing w:before="20" w:after="20"/>
            </w:pPr>
            <w:r>
              <w:rPr>
                <w:rFonts w:ascii="游ゴシック" w:hAnsi="游ゴシック" w:eastAsia="游ゴシック"/>
                <w:b w:val="0"/>
                <w:i w:val="0"/>
                <w:sz w:val="17"/>
              </w:rPr>
              <w:t>十　医療介護連携の状況</w:t>
            </w:r>
          </w:p>
        </w:tc>
        <w:tc>
          <w:tcPr>
            <w:tcW w:type="dxa" w:w="3402"/>
            <w:vAlign w:val="center"/>
          </w:tcPr>
          <w:p>
            <w:pPr>
              <w:keepNext/>
              <w:spacing w:before="20" w:after="20"/>
            </w:pPr>
            <w:r>
              <w:rPr>
                <w:rFonts w:ascii="游ゴシック" w:hAnsi="游ゴシック" w:eastAsia="游ゴシック"/>
                <w:b w:val="0"/>
                <w:i w:val="0"/>
                <w:sz w:val="17"/>
              </w:rPr>
              <w:t>医療介護連携に関する加算の算定状況</w:t>
            </w:r>
          </w:p>
        </w:tc>
        <w:tc>
          <w:tcPr>
            <w:tcW w:type="dxa" w:w="2041"/>
            <w:vAlign w:val="center"/>
          </w:tcPr>
          <w:p>
            <w:pPr>
              <w:keepNext/>
              <w:spacing w:before="20" w:after="20"/>
            </w:pPr>
            <w:r>
              <w:rPr>
                <w:rFonts w:ascii="游ゴシック" w:hAnsi="游ゴシック" w:eastAsia="游ゴシック"/>
                <w:b w:val="0"/>
                <w:i w:val="0"/>
                <w:sz w:val="17"/>
              </w:rPr>
              <w:t>第5章 基本目標2⑦</w:t>
            </w:r>
          </w:p>
        </w:tc>
        <w:tc>
          <w:tcPr>
            <w:tcW w:type="dxa" w:w="2381"/>
            <w:vAlign w:val="center"/>
          </w:tcPr>
          <w:p>
            <w:pPr>
              <w:keepNext/>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十一　認知症の人の数及び関連施策の状況</w:t>
            </w:r>
          </w:p>
        </w:tc>
        <w:tc>
          <w:tcPr>
            <w:tcW w:type="dxa" w:w="3402"/>
            <w:vAlign w:val="center"/>
          </w:tcPr>
          <w:p>
            <w:pPr>
              <w:spacing w:before="20" w:after="20"/>
            </w:pPr>
            <w:r>
              <w:rPr>
                <w:rFonts w:ascii="游ゴシック" w:hAnsi="游ゴシック" w:eastAsia="游ゴシック"/>
                <w:b w:val="0"/>
                <w:i w:val="0"/>
                <w:sz w:val="17"/>
              </w:rPr>
              <w:t>認知症の人の数・推計値、認知症カフェ等の社会参加の場</w:t>
            </w:r>
          </w:p>
        </w:tc>
        <w:tc>
          <w:tcPr>
            <w:tcW w:type="dxa" w:w="2041"/>
            <w:vAlign w:val="center"/>
          </w:tcPr>
          <w:p>
            <w:pPr>
              <w:spacing w:before="20" w:after="20"/>
            </w:pPr>
            <w:r>
              <w:rPr>
                <w:rFonts w:ascii="游ゴシック" w:hAnsi="游ゴシック" w:eastAsia="游ゴシック"/>
                <w:b w:val="0"/>
                <w:i w:val="0"/>
                <w:sz w:val="17"/>
              </w:rPr>
              <w:t>第2章6・第5章 基本目標2③</w:t>
            </w:r>
          </w:p>
        </w:tc>
        <w:tc>
          <w:tcPr>
            <w:tcW w:type="dxa" w:w="2381"/>
            <w:vAlign w:val="center"/>
          </w:tcPr>
          <w:p>
            <w:pPr>
              <w:spacing w:before="20" w:after="20"/>
            </w:pPr>
            <w:r>
              <w:rPr>
                <w:rFonts w:ascii="游ゴシック" w:hAnsi="游ゴシック" w:eastAsia="游ゴシック"/>
                <w:b w:val="0"/>
                <w:i w:val="0"/>
                <w:sz w:val="17"/>
              </w:rPr>
              <w:t>把握済み（自立度Ⅲa・Ⅲbは未受領）</w:t>
            </w:r>
          </w:p>
        </w:tc>
      </w:tr>
    </w:tbl>
    <w:p>
      <w:pPr>
        <w:spacing w:after="40"/>
      </w:pPr>
    </w:p>
    <w:p>
      <w:pPr>
        <w:spacing w:before="40" w:after="160"/>
        <w:ind w:left="113"/>
      </w:pPr>
      <w:r>
        <w:rPr>
          <w:rFonts w:ascii="游ゴシック" w:hAnsi="游ゴシック" w:eastAsia="游ゴシック"/>
          <w:b w:val="0"/>
          <w:i w:val="0"/>
          <w:sz w:val="17"/>
        </w:rPr>
        <w:t>資料：全国介護保険担当課長会議資料（令和8年7月15日）資料3-1、社会保障審議会介護保険部会（第135回）資料2-2「基本指針（案）について（新旧案）」。</w:t>
      </w:r>
      <w:r>
        <w:rPr>
          <w:rFonts w:ascii="游ゴシック" w:hAnsi="游ゴシック" w:eastAsia="游ゴシック"/>
          <w:b/>
          <w:i w:val="0"/>
          <w:sz w:val="17"/>
        </w:rPr>
        <w:t>別表1は基本指針の案であり、告示（令和8年11月頃の予定）で確定します。</w:t>
      </w:r>
      <w:r>
        <w:rPr>
          <w:rFonts w:ascii="游ゴシック" w:hAnsi="游ゴシック" w:eastAsia="游ゴシック"/>
          <w:b w:val="0"/>
          <w:i w:val="0"/>
          <w:sz w:val="17"/>
        </w:rPr>
        <w:t xml:space="preserve"> 介護SCRと死亡場所別の死亡数は、地域包括ケア「見える化」システムで取得します。</w:t>
      </w:r>
    </w:p>
    <w:p>
      <w:pPr>
        <w:pStyle w:val="Heading2"/>
        <w:keepNext/>
        <w:spacing w:before="180" w:after="100"/>
      </w:pPr>
      <w:bookmarkStart w:id="153" w:name="_Toc_053"/>
      <w:r>
        <w:rPr>
          <w:rFonts w:ascii="游ゴシック" w:hAnsi="游ゴシック" w:eastAsia="游ゴシック"/>
          <w:b/>
          <w:i w:val="0"/>
          <w:color w:val="2E74B5"/>
          <w:sz w:val="25"/>
        </w:rPr>
        <w:t>13　図表番号一覧</w:t>
      </w:r>
      <w:bookmarkEnd w:id="153"/>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第1章7　計画の策定体制（2）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第4章3　関連計画との役割分担（3）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第4章3　関連計画との役割分担（4）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特定地域居宅サービス等事業の対象（介護保険法第115条の45第3項）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第6章9　老人福祉事業の量の目標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第6章9　老人福祉事業の量の目標（2）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第6章10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【表124】</w:t>
            </w:r>
          </w:p>
        </w:tc>
        <w:tc>
          <w:tcPr>
            <w:tcW w:type="dxa" w:w="7597"/>
            <w:vAlign w:val="center"/>
          </w:tcPr>
          <w:p>
            <w:pPr>
              <w:spacing w:before="20" w:after="20"/>
            </w:pPr>
            <w:r>
              <w:rPr>
                <w:rFonts w:ascii="游ゴシック" w:hAnsi="游ゴシック" w:eastAsia="游ゴシック"/>
                <w:b w:val="0"/>
                <w:i w:val="0"/>
                <w:sz w:val="17"/>
              </w:rPr>
              <w:t>第6章12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【表125】</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【表126】</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【表127】</w:t>
            </w:r>
          </w:p>
        </w:tc>
        <w:tc>
          <w:tcPr>
            <w:tcW w:type="dxa" w:w="7597"/>
            <w:vAlign w:val="center"/>
          </w:tcPr>
          <w:p>
            <w:pPr>
              <w:spacing w:before="20" w:after="20"/>
            </w:pPr>
            <w:r>
              <w:rPr>
                <w:rFonts w:ascii="游ゴシック" w:hAnsi="游ゴシック" w:eastAsia="游ゴシック"/>
                <w:b w:val="0"/>
                <w:i w:val="0"/>
                <w:sz w:val="17"/>
              </w:rPr>
              <w:t>資料編8　成果指標の定義（2）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【表128】</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【表129】</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【表130】</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【表131】</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4" w:name="_Toc_054"/>
      <w:r>
        <w:rPr>
          <w:rFonts w:ascii="游ゴシック" w:hAnsi="游ゴシック" w:eastAsia="游ゴシック"/>
          <w:b/>
          <w:i w:val="0"/>
          <w:color w:val="2E74B5"/>
          <w:sz w:val="30"/>
        </w:rPr>
        <w:t>参考　本素案の確定に必要な事項</w:t>
      </w:r>
      <w:bookmarkEnd w:id="154"/>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庁内の検討体制（会議の名称・構成・開催予定）</w:t>
            </w:r>
          </w:p>
        </w:tc>
        <w:tc>
          <w:tcPr>
            <w:tcW w:type="dxa" w:w="4063"/>
            <w:vAlign w:val="center"/>
          </w:tcPr>
          <w:p>
            <w:pPr>
              <w:spacing w:before="20" w:after="20"/>
            </w:pPr>
            <w:r>
              <w:rPr>
                <w:rFonts w:ascii="游ゴシック" w:hAnsi="游ゴシック" w:eastAsia="游ゴシック"/>
                <w:b w:val="0"/>
                <w:i w:val="0"/>
                <w:sz w:val="17"/>
              </w:rPr>
              <w:t>第1章7</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健康増進計画・データヘルス計画・特定健康診査等実施計画の計画名と期間</w:t>
            </w:r>
          </w:p>
        </w:tc>
        <w:tc>
          <w:tcPr>
            <w:tcW w:type="dxa" w:w="4063"/>
            <w:vAlign w:val="center"/>
          </w:tcPr>
          <w:p>
            <w:pPr>
              <w:spacing w:before="20" w:after="20"/>
            </w:pPr>
            <w:r>
              <w:rPr>
                <w:rFonts w:ascii="游ゴシック" w:hAnsi="游ゴシック" w:eastAsia="游ゴシック"/>
                <w:b w:val="0"/>
                <w:i w:val="0"/>
                <w:sz w:val="17"/>
              </w:rPr>
              <w:t>第4章3</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重層的支援体制整備事業の実施の有無</w:t>
            </w:r>
          </w:p>
        </w:tc>
        <w:tc>
          <w:tcPr>
            <w:tcW w:type="dxa" w:w="4063"/>
            <w:vAlign w:val="center"/>
          </w:tcPr>
          <w:p>
            <w:pPr>
              <w:spacing w:before="20" w:after="20"/>
            </w:pPr>
            <w:r>
              <w:rPr>
                <w:rFonts w:ascii="游ゴシック" w:hAnsi="游ゴシック" w:eastAsia="游ゴシック"/>
                <w:b w:val="0"/>
                <w:i w:val="0"/>
                <w:sz w:val="17"/>
              </w:rPr>
              <w:t>第1章2</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町内事業所の離職率、ICT・ケアプランデータ連携システムの導入状況</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地域医療介護総合確保基金のメニューと県の交付要綱（県）</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地域ケア会議の資料（開催回数・検討件数・事例）</w:t>
            </w:r>
          </w:p>
        </w:tc>
        <w:tc>
          <w:tcPr>
            <w:tcW w:type="dxa" w:w="4063"/>
            <w:vAlign w:val="center"/>
          </w:tcPr>
          <w:p>
            <w:pPr>
              <w:spacing w:before="20" w:after="20"/>
            </w:pPr>
            <w:r>
              <w:rPr>
                <w:rFonts w:ascii="游ゴシック" w:hAnsi="游ゴシック" w:eastAsia="游ゴシック"/>
                <w:b w:val="0"/>
                <w:i w:val="0"/>
                <w:sz w:val="17"/>
              </w:rPr>
              <w:t>第5章 基本目標2②・3①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在宅介護実態調査の個票と、認定データとの連携の有無</w:t>
            </w:r>
          </w:p>
        </w:tc>
        <w:tc>
          <w:tcPr>
            <w:tcW w:type="dxa" w:w="4063"/>
            <w:vAlign w:val="center"/>
          </w:tcPr>
          <w:p>
            <w:pPr>
              <w:spacing w:before="20" w:after="20"/>
            </w:pPr>
            <w:r>
              <w:rPr>
                <w:rFonts w:ascii="游ゴシック" w:hAnsi="游ゴシック" w:eastAsia="游ゴシック"/>
                <w:b w:val="0"/>
                <w:i w:val="0"/>
                <w:sz w:val="17"/>
              </w:rPr>
              <w:t>第2章2</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