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介護保険部会　資料別論点整理</w:t>
      </w:r>
    </w:p>
    <w:p>
      <w:pPr>
        <w:pStyle w:val="Subtitle"/>
      </w:pPr>
      <w:r>
        <w:t>第134～136回｜第10期高齢者福祉・介護保険事業計画への反映</w:t>
      </w:r>
    </w:p>
    <w:p>
      <w:pPr>
        <w:spacing w:after="260"/>
      </w:pPr>
      <w:r>
        <w:t>作成基準：2026年10月20日時点　｜　第10期介護保険事業計画チェックリスト（添付・176項目）との照合</w:t>
      </w:r>
    </w:p>
    <w:p>
      <w:pPr>
        <w:pStyle w:val="Heading1"/>
      </w:pPr>
      <w:r>
        <w:t>1．結論と利用方法</w:t>
      </w:r>
    </w:p>
    <w:p>
      <w:r>
        <w:t>本資料は国の審議を、自治体の「現状分析→需要→供給→費用→計画本文・KPI」に対応させたものである。法定記載事項は介護保険法・最新基本指針で最終判定し、報酬改定案は確定単価として先取りしない。</w:t>
      </w:r>
    </w:p>
    <w:p>
      <w:r>
        <w:t>資料の概要は各省庁の公式「配付資料一覧」および既往整理を基に記載。詳細な単位数、指定基準、施行時期等は当該PDFの原本・告示・政省令で確認する。</w:t>
      </w:r>
    </w:p>
    <w:p>
      <w:pPr>
        <w:pStyle w:val="Heading1"/>
      </w:pPr>
      <w:r>
        <w:t>2．会議・資料の一覧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会議</w:t>
            </w:r>
          </w:p>
        </w:tc>
        <w:tc>
          <w:tcPr>
            <w:tcW w:type="dxa" w:w="2480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開催日</w:t>
            </w:r>
          </w:p>
        </w:tc>
        <w:tc>
          <w:tcPr>
            <w:tcW w:type="dxa" w:w="2480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収録資料</w:t>
            </w:r>
          </w:p>
        </w:tc>
        <w:tc>
          <w:tcPr>
            <w:tcW w:type="dxa" w:w="2480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公式配付ページ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4"/>
              </w:rPr>
              <w:t>第134回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2026-03-09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5件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https://www.mhlw.go.jp/stf/newpage_71296.html</w:t>
            </w:r>
          </w:p>
        </w:tc>
      </w:tr>
      <w:tr>
        <w:trPr>
          <w:cantSplit/>
        </w:trPr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4"/>
              </w:rPr>
              <w:t>第135回</w:t>
            </w:r>
          </w:p>
        </w:tc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2026-06-29</w:t>
            </w:r>
          </w:p>
        </w:tc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4件</w:t>
            </w:r>
          </w:p>
        </w:tc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https://www.mhlw.go.jp/stf/newpage_74114.html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4"/>
              </w:rPr>
              <w:t>第136回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2026-09-18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6件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https://www.mhlw.go.jp/stf/newpage_76225.html</w:t>
            </w:r>
          </w:p>
        </w:tc>
      </w:tr>
    </w:tbl>
    <w:p>
      <w:pPr>
        <w:spacing w:after="20"/>
      </w:pPr>
    </w:p>
    <w:p>
      <w:pPr>
        <w:pStyle w:val="Heading1"/>
      </w:pPr>
      <w:r>
        <w:t>3．会議回別・資料番号別の論点</w:t>
      </w:r>
    </w:p>
    <w:p>
      <w:pPr>
        <w:pStyle w:val="Heading1"/>
      </w:pPr>
      <w:r>
        <w:t>第134回　（2026-03-09）</w:t>
      </w:r>
    </w:p>
    <w:p>
      <w:pPr/>
      <w:r>
        <w:rPr>
          <w:b/>
          <w:color w:val="2A6967"/>
        </w:rPr>
        <w:t>公式一次資料：</w:t>
      </w:r>
      <w:r>
        <w:t>https://www.mhlw.go.jp/stf/newpage_71296.html</w:t>
      </w:r>
    </w:p>
    <w:p>
      <w:pPr/>
      <w:r>
        <w:rPr>
          <w:b/>
          <w:color w:val="2A6967"/>
        </w:rPr>
        <w:t>資料確認の位置付け：</w:t>
      </w:r>
      <w:r>
        <w:t>資料名・議題は公開配付一覧と照合。個別の提案は未確定事項として扱う。</w:t>
      </w:r>
    </w:p>
    <w:p>
      <w:pPr>
        <w:pStyle w:val="Heading2"/>
      </w:pPr>
      <w:r>
        <w:t>1. 資料1-1 基本指針について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現行基本指針を基準に次期の改定論点を整理。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第10期の法定記載事項、地域特性、長期推計等との整合。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C005–C012, C025–C026, C081–C088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現行指針・第10期案・条文新旧対照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基礎資料／次期指針は確定版要照合</w:t>
            </w:r>
          </w:p>
        </w:tc>
      </w:tr>
    </w:tbl>
    <w:p>
      <w:pPr>
        <w:spacing w:after="20"/>
      </w:pPr>
    </w:p>
    <w:p>
      <w:pPr>
        <w:pStyle w:val="Heading2"/>
      </w:pPr>
      <w:r>
        <w:t>2. 資料1-2 基本指針の構成について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基本指針の構成と計画章立ての関係。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章立て・成果目標・見込量・確保方策を対応表に。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C005–C012, C029–C034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計画目次、指針案、現行計画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構成案。法定義務を直接確定しない</w:t>
            </w:r>
          </w:p>
        </w:tc>
      </w:tr>
    </w:tbl>
    <w:p>
      <w:pPr>
        <w:spacing w:after="20"/>
      </w:pPr>
    </w:p>
    <w:p>
      <w:pPr>
        <w:pStyle w:val="Heading2"/>
      </w:pPr>
      <w:r>
        <w:t>3. 資料2 匿名介護情報等の提供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介護情報の利用・分析基盤。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地域分析の分母・定義・収集方法の確認。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C069–C075, C083–C084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認定・給付実績、抽出仕様、地域分析手引き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報告</w:t>
            </w:r>
          </w:p>
        </w:tc>
      </w:tr>
    </w:tbl>
    <w:p>
      <w:pPr>
        <w:spacing w:after="20"/>
      </w:pPr>
    </w:p>
    <w:p>
      <w:pPr>
        <w:pStyle w:val="Heading2"/>
      </w:pPr>
      <w:r>
        <w:t>4. 資料3 高齢者虐待対応状況調査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高齢者虐待の相談・対応の実績と課題。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権利擁護、相談体制、虐待防止・再発予防を独立して確認。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C067, C130–C131, C146–C148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虐待対応実績、相談記録、関係機関連携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報告／自治体目標は独自設定</w:t>
            </w:r>
          </w:p>
        </w:tc>
      </w:tr>
    </w:tbl>
    <w:p>
      <w:pPr>
        <w:spacing w:after="20"/>
      </w:pPr>
    </w:p>
    <w:p>
      <w:pPr>
        <w:pStyle w:val="Heading2"/>
      </w:pPr>
      <w:r>
        <w:t>5. 資料4 令和8年度介護納付金算定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介護保険財政の情報提供。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第1号保険料算定と第2号被保険者負担等を混同せず財源を整理。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C169–C176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財政推計、交付金、納付金資料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報告／算式の転用不可</w:t>
            </w:r>
          </w:p>
        </w:tc>
      </w:tr>
    </w:tbl>
    <w:p>
      <w:pPr>
        <w:spacing w:after="20"/>
      </w:pPr>
    </w:p>
    <w:p>
      <w:pPr>
        <w:pStyle w:val="Heading1"/>
      </w:pPr>
      <w:r>
        <w:t>第135回　（2026-06-29）</w:t>
      </w:r>
    </w:p>
    <w:p>
      <w:pPr/>
      <w:r>
        <w:rPr>
          <w:b/>
          <w:color w:val="2A6967"/>
        </w:rPr>
        <w:t>公式一次資料：</w:t>
      </w:r>
      <w:r>
        <w:t>https://www.mhlw.go.jp/stf/newpage_74114.html</w:t>
      </w:r>
    </w:p>
    <w:p>
      <w:pPr/>
      <w:r>
        <w:rPr>
          <w:b/>
          <w:color w:val="2A6967"/>
        </w:rPr>
        <w:t>資料確認の位置付け：</w:t>
      </w:r>
      <w:r>
        <w:t>資料名・議題は公開配付一覧と照合。個別の提案は未確定事項として扱う。</w:t>
      </w:r>
    </w:p>
    <w:p>
      <w:pPr>
        <w:pStyle w:val="Heading2"/>
      </w:pPr>
      <w:r>
        <w:t>1. 資料1 社会福祉法等改正法（報告）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令和8年の法改正と計画記載事項の関係。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介護保険法117・118条等の現行／改正後／施行期日を区別。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C005–C012, C081–C096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公布法、新旧対照表、施行期日政令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公布済み改正部分と施行前を区分</w:t>
            </w:r>
          </w:p>
        </w:tc>
      </w:tr>
    </w:tbl>
    <w:p>
      <w:pPr>
        <w:spacing w:after="20"/>
      </w:pPr>
    </w:p>
    <w:p>
      <w:pPr>
        <w:pStyle w:val="Heading2"/>
      </w:pPr>
      <w:r>
        <w:t>2. 資料2-1 基本指針の構成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第10期基本指針の構成案。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法定章立てと手引き目次の差分を管理。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C005–C012, C029–C034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次期基本指針、計画目次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案</w:t>
            </w:r>
          </w:p>
        </w:tc>
      </w:tr>
    </w:tbl>
    <w:p>
      <w:pPr>
        <w:spacing w:after="20"/>
      </w:pPr>
    </w:p>
    <w:p>
      <w:pPr>
        <w:pStyle w:val="Heading2"/>
      </w:pPr>
      <w:r>
        <w:t>3. 資料2-2 基本指針（新旧案）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基本指針の新旧比較。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中長期推計、提供体制、住まい、人材等の変更点を確認。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C005–C012, C081–C108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新旧対照、見込量資料、整備方針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案／確定告示と分離</w:t>
            </w:r>
          </w:p>
        </w:tc>
      </w:tr>
    </w:tbl>
    <w:p>
      <w:pPr>
        <w:spacing w:after="20"/>
      </w:pPr>
    </w:p>
    <w:p>
      <w:pPr>
        <w:pStyle w:val="Heading2"/>
      </w:pPr>
      <w:r>
        <w:t>4. 資料3 特定地域の考え方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中山間・人口減少地域のサービス提供体制。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地理・人口減少だけで適用を断定せず、指定要件と実際の供給を照合。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C060, C086–C088, C097–C101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対象要件、交通時間、事業所分布、人材調査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検討中／適用基準原文確認</w:t>
            </w:r>
          </w:p>
        </w:tc>
      </w:tr>
    </w:tbl>
    <w:p>
      <w:pPr>
        <w:spacing w:after="20"/>
      </w:pPr>
    </w:p>
    <w:p>
      <w:pPr>
        <w:pStyle w:val="Heading1"/>
      </w:pPr>
      <w:r>
        <w:t>第136回　（2026-09-18）</w:t>
      </w:r>
    </w:p>
    <w:p>
      <w:pPr/>
      <w:r>
        <w:rPr>
          <w:b/>
          <w:color w:val="2A6967"/>
        </w:rPr>
        <w:t>公式一次資料：</w:t>
      </w:r>
      <w:r>
        <w:t>https://www.mhlw.go.jp/stf/newpage_76225.html</w:t>
      </w:r>
    </w:p>
    <w:p>
      <w:pPr/>
      <w:r>
        <w:rPr>
          <w:b/>
          <w:color w:val="2A6967"/>
        </w:rPr>
        <w:t>資料確認の位置付け：</w:t>
      </w:r>
      <w:r>
        <w:t>資料名・議題は公開配付一覧と照合。個別の提案は未確定事項として扱う。</w:t>
      </w:r>
    </w:p>
    <w:p>
      <w:pPr>
        <w:pStyle w:val="Heading2"/>
      </w:pPr>
      <w:r>
        <w:t>1. 資料1 第1号保険料の在り方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所得段階・負担の考え方。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第1号被保険者・所得段階別人数と基準額の感応度を検証。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C169, C173–C176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所得段階別人数、収納率、準備基金、算定表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制度議論／保険料率未確定</w:t>
            </w:r>
          </w:p>
        </w:tc>
      </w:tr>
    </w:tbl>
    <w:p>
      <w:pPr>
        <w:spacing w:after="20"/>
      </w:pPr>
    </w:p>
    <w:p>
      <w:pPr>
        <w:pStyle w:val="Heading2"/>
      </w:pPr>
      <w:r>
        <w:t>2. 資料2 持続可能性（給付と負担）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費用負担・給付設計の検討。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財政推計は現行制度ベースと検討案ベースを別シナリオ化。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C170–C176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標準給付費、調整交付金、改定条件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審議中</w:t>
            </w:r>
          </w:p>
        </w:tc>
      </w:tr>
    </w:tbl>
    <w:p>
      <w:pPr>
        <w:spacing w:after="20"/>
      </w:pPr>
    </w:p>
    <w:p>
      <w:pPr>
        <w:pStyle w:val="Heading2"/>
      </w:pPr>
      <w:r>
        <w:t>3. 資料3 介護情報基盤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情報連携基盤の整備状況。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データ活用・申請負担・地域分析の工程に反映。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C027, C069–C075, C094–C095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システム更新、連携仕様、担当業務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報告</w:t>
            </w:r>
          </w:p>
        </w:tc>
      </w:tr>
    </w:tbl>
    <w:p>
      <w:pPr>
        <w:spacing w:after="20"/>
      </w:pPr>
    </w:p>
    <w:p>
      <w:pPr>
        <w:pStyle w:val="Heading2"/>
      </w:pPr>
      <w:r>
        <w:t>4. 資料4 事業者経営情報の調査分析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事業者経営状態の地域把握。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人材・休廃止・経営の持続可能性を需給推計と照合。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C086–C096, C099–C100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事業所経営・休廃止・採算・供給調査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報告</w:t>
            </w:r>
          </w:p>
        </w:tc>
      </w:tr>
    </w:tbl>
    <w:p>
      <w:pPr>
        <w:spacing w:after="20"/>
      </w:pPr>
    </w:p>
    <w:p>
      <w:pPr>
        <w:pStyle w:val="Heading2"/>
      </w:pPr>
      <w:r>
        <w:t>5. 資料5 給付適正化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介護給付適正化の実施状況。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自立支援と給付適正化を混同せず成果指標を設定。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C010, C020, C149–C153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ケアプラン点検、適正化実績、成果指標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報告</w:t>
            </w:r>
          </w:p>
        </w:tc>
      </w:tr>
    </w:tbl>
    <w:p>
      <w:pPr>
        <w:spacing w:after="20"/>
      </w:pPr>
    </w:p>
    <w:p>
      <w:pPr>
        <w:pStyle w:val="Heading2"/>
      </w:pPr>
      <w:r>
        <w:t>6. 資料6 介護事業者の連携強化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事業所間の協働・連携。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人口減少地域における共同運営・広域連携を確保方策に。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C086–C101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事業者ヒアリング、共同化の可能性、人員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報告／施策採否は地域判断</w:t>
            </w:r>
          </w:p>
        </w:tc>
      </w:tr>
    </w:tbl>
    <w:p>
      <w:pPr>
        <w:spacing w:after="20"/>
      </w:pPr>
    </w:p>
    <w:p>
      <w:pPr>
        <w:pStyle w:val="Heading1"/>
      </w:pPr>
      <w:r>
        <w:t>4．自治体打ち合わせ・確認順序</w:t>
      </w:r>
    </w:p>
    <w:p>
      <w:pPr>
        <w:pStyle w:val="ListBullet"/>
      </w:pPr>
      <w:r>
        <w:t>① 法定事項・基本指針の最新告示をチェック（C005～C012）。</w:t>
      </w:r>
    </w:p>
    <w:p>
      <w:pPr>
        <w:pStyle w:val="ListBullet"/>
      </w:pPr>
      <w:r>
        <w:t>② 第9期実績、地域差、認定・給付データで需要を分解（C035～C051、C069～C088）。</w:t>
      </w:r>
    </w:p>
    <w:p>
      <w:pPr>
        <w:pStyle w:val="ListBullet"/>
      </w:pPr>
      <w:r>
        <w:t>③ 事業者の人材・休廃止・稼働率等を用い供給制約を評価（C089～C108）。</w:t>
      </w:r>
    </w:p>
    <w:p>
      <w:pPr>
        <w:pStyle w:val="ListBullet"/>
      </w:pPr>
      <w:r>
        <w:t>④ 地域支援事業、医療連携、地域包括・認知症・権利擁護の施策体系を確認（C109～C153）。</w:t>
      </w:r>
    </w:p>
    <w:p>
      <w:pPr>
        <w:pStyle w:val="ListBullet"/>
      </w:pPr>
      <w:r>
        <w:t>⑤ 現行制度の財政試算と報酬改定確定後の更新を分ける（C169～C176）。</w:t>
      </w:r>
    </w:p>
    <w:p>
      <w:pPr>
        <w:pStyle w:val="Heading1"/>
      </w:pPr>
      <w:r>
        <w:t>5．Red Team留意点</w:t>
      </w:r>
    </w:p>
    <w:p>
      <w:pPr>
        <w:pStyle w:val="ListBullet"/>
      </w:pPr>
      <w:r>
        <w:t>会議資料にある「案」「方向性」「報告」を、確定法令・告示と混同しない。</w:t>
      </w:r>
    </w:p>
    <w:p>
      <w:pPr>
        <w:pStyle w:val="ListBullet"/>
      </w:pPr>
      <w:r>
        <w:t>介護保険の特定地域と障害福祉の特定地域は、それぞれ独立の要件で確認する。</w:t>
      </w:r>
    </w:p>
    <w:p>
      <w:pPr>
        <w:pStyle w:val="ListBullet"/>
      </w:pPr>
      <w:r>
        <w:t>年度別・圏域別の数値が必要な項目に、全国値や報酬改定の全国傾向を一律代入しない。</w:t>
      </w:r>
    </w:p>
    <w:p>
      <w:pPr>
        <w:pStyle w:val="ListBullet"/>
      </w:pPr>
      <w:r>
        <w:t>事業所数と実際の提供可能人数・専門職・稼働率を混同しない。</w:t>
      </w:r>
    </w:p>
    <w:p>
      <w:pPr>
        <w:pStyle w:val="ListBullet"/>
      </w:pPr>
      <w:r>
        <w:t>成年後見、若年性認知症、医療的ケア等の横断論点は計画ごとに主担当と共同担当を分ける。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>審議案と確定法令は区別してください　｜　2026年10月20日時点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自治体計画策定／審議会資料レビュー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Yu Gothic" w:hAnsi="Yu Gothic"/>
      <w:color w:val="2130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Yu Gothic" w:hAnsi="Yu Gothic"/>
      <w:b/>
      <w:bCs/>
      <w:color w:val="1F416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Yu Gothic" w:hAnsi="Yu Gothic"/>
      <w:b/>
      <w:bCs/>
      <w:color w:val="2A696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Yu Gothic" w:hAnsi="Yu Gothic"/>
      <w:b/>
      <w:bCs/>
      <w:color w:val="1F416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20"/>
      <w:contextualSpacing/>
    </w:pPr>
    <w:rPr>
      <w:rFonts w:asciiTheme="majorHAnsi" w:eastAsiaTheme="majorEastAsia" w:hAnsiTheme="majorHAnsi" w:cstheme="majorBidi" w:ascii="Yu Gothic" w:hAnsi="Yu Gothic"/>
      <w:b/>
      <w:color w:val="1F416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