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（第5版　北海道第9期計画 第5章の記述構成を反映）</w:t>
      </w:r>
    </w:p>
    <w:p>
      <w:pPr>
        <w:spacing w:after="280"/>
        <w:jc w:val="right"/>
      </w:pPr>
      <w:r>
        <w:rPr>
          <w:rFonts w:ascii="游ゴシック" w:hAnsi="游ゴシック" w:eastAsia="游ゴシック"/>
          <w:b w:val="0"/>
          <w:sz w:val="21"/>
        </w:rPr>
        <w:t>令和8年7月28日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その結果、修正指示は59件（うち第1回委員会前に対応すべきもの18件）となり、そのうち発注者へのご確認が必要なものが41件ございます。</w:t>
      </w:r>
    </w:p>
    <w:p>
      <w:pPr>
        <w:spacing w:after="200"/>
      </w:pPr>
      <w:r>
        <w:rPr>
          <w:rFonts w:ascii="游ゴシック" w:hAnsi="游ゴシック" w:eastAsia="游ゴシック"/>
          <w:b w:val="0"/>
          <w:sz w:val="21"/>
        </w:rPr>
        <w:t>本書では、第1回委員会でご決定いただきたい事項7件、事務局にてご確認いただきたい事項19件、ご提供をお願いする資料17件に整理しております。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200"/>
      </w:pPr>
      <w:r>
        <w:rPr>
          <w:rFonts w:ascii="游ゴシック" w:hAnsi="游ゴシック" w:eastAsia="游ゴシック"/>
          <w:b w:val="0"/>
          <w:sz w:val="21"/>
        </w:rPr>
        <w:t>あわせて、北海道の計画が第5章の全8節を「現状と課題／関連データ／施策の方向性／主な事業（インプット・アウトプット）／達成目標（アウトカム）」の5層で記述しており、国の基本指針案が求めるロジックモデルを既に実装していることを確認いたしました。第10期計画の第5章も同じ構成に改めることを提案いたします（下記４の参考をご覧ください）。</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第1回委員会でご決定いただきたい事項（7件）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 採用系列：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つきましては、当広域連合の総合事業の実施状況に関する調査における通いの場の数・参加者数をご提供いただけますでしょうか。</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r>
        <w:br w:type="page"/>
      </w:r>
    </w:p>
    <w:p>
      <w:pPr>
        <w:spacing w:after="120" w:before="200"/>
      </w:pPr>
      <w:r>
        <w:rPr>
          <w:rFonts w:ascii="游ゴシック" w:hAnsi="游ゴシック" w:eastAsia="游ゴシック"/>
          <w:b/>
          <w:sz w:val="24"/>
        </w:rPr>
        <w:t>２　事務局にてご確認いただきたい事項（19件）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地域密着型通所介護の給付低下　【新規】</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第9期計画では4施設（東川町1・美瑛町3）で据置きとしておりました。事業所の休廃止・定員縮小の有無を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重度在宅を支えるサービスの整備方針　【新規】</w:t>
            </w:r>
          </w:p>
        </w:tc>
        <w:tc>
          <w:tcPr>
            <w:tcW w:type="dxa" w:w="5216"/>
          </w:tcPr>
          <w:p>
            <w:r/>
            <w:r>
              <w:rPr>
                <w:rFonts w:ascii="游ゴシック" w:hAnsi="游ゴシック" w:eastAsia="游ゴシック"/>
                <w:sz w:val="18"/>
              </w:rPr>
              <w:t>要介護5の在宅・居住系割合が54.6％に達している一方、定期巡回・随時対応型訪問介護看護の給付月額は令和7年度15円、夜間対応型訪問介護と看護小規模多機能型居宅介護は0円です。24時間対応サービスの整備方針、又は訪問介護・訪問看護・小規模多機能での代替方針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介護人材実態調査の設問　【新規】</w:t>
            </w:r>
          </w:p>
        </w:tc>
        <w:tc>
          <w:tcPr>
            <w:tcW w:type="dxa" w:w="5216"/>
          </w:tcPr>
          <w:p>
            <w:r/>
            <w:r>
              <w:rPr>
                <w:rFonts w:ascii="游ゴシック" w:hAnsi="游ゴシック" w:eastAsia="游ゴシック"/>
                <w:sz w:val="18"/>
              </w:rPr>
              <w:t>H13（職種別欠員率）は「必要常勤換算数」、H14（採用者1年定着率）は「採用後12か月時点の在職」を必要としますが、第9期の同調査にこれらの設問は確認できませんでした。第10期の調査票に該当設問があるかご確認ください。ない場合は、H13は求人継続期間又は採用者数と退職者数の差分、H14は年間離職率での代替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ご提供をお願いする資料（17件）</w:t>
      </w:r>
    </w:p>
    <w:p>
      <w:pPr>
        <w:spacing w:after="80"/>
      </w:pPr>
      <w:r>
        <w:rPr>
          <w:rFonts w:ascii="游ゴシック" w:hAnsi="游ゴシック" w:eastAsia="游ゴシック"/>
          <w:b w:val="0"/>
          <w:sz w:val="19"/>
        </w:rPr>
        <w:t>計画の確定に必要な資料です。優先度の高いものから記載しております。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地域包括ケア「見える化」システムの再出力（①類似保険者比較 ②介護サービス自給率 ③介護SCR（性・年齢調整済みレセプト出現比）④施設・事業所の入所率・稼働率・職員数推移 ⑤医療介護連携の加算算定状況 ⑥人口メッシュ）</w:t>
            </w:r>
          </w:p>
        </w:tc>
        <w:tc>
          <w:tcPr>
            <w:tcW w:type="dxa" w:w="3118"/>
          </w:tcPr>
          <w:p>
            <w:r/>
            <w:r>
              <w:rPr>
                <w:rFonts w:ascii="游ゴシック" w:hAnsi="游ゴシック" w:eastAsia="游ゴシック"/>
                <w:sz w:val="18"/>
              </w:rPr>
              <w:t>仕様書４（４）が求める類似保険者との比較分析、及び第10期基本指針の新別表「確認すべき指標・状況」11事項への対応（現時点で対応できているのは2事項）</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介護予防・日常生活支援総合事業の実施状況に関する調査（通いの場の数・参加者数、多様なサービス・活動の数・参加者数）</w:t>
            </w:r>
          </w:p>
        </w:tc>
        <w:tc>
          <w:tcPr>
            <w:tcW w:type="dxa" w:w="3118"/>
          </w:tcPr>
          <w:p>
            <w:r/>
            <w:r>
              <w:rPr>
                <w:rFonts w:ascii="游ゴシック" w:hAnsi="游ゴシック" w:eastAsia="游ゴシック"/>
                <w:sz w:val="18"/>
              </w:rPr>
              <w:t>通いの場参加率の統計の統一（１（7））、北海道KPIとの比較</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北海道の施策記述の構成</w:t>
            </w:r>
          </w:p>
        </w:tc>
        <w:tc>
          <w:tcPr>
            <w:tcW w:type="dxa" w:w="7597"/>
          </w:tcPr>
          <w:p>
            <w:r/>
            <w:r>
              <w:rPr>
                <w:rFonts w:ascii="游ゴシック" w:hAnsi="游ゴシック" w:eastAsia="游ゴシック"/>
                <w:sz w:val="18"/>
              </w:rPr>
              <w:t>北海道の計画は第5章の全8節を「（1）現状と課題（2）関連データ（3）施策の方向性（4）主な事業＜事業名及び内容（インプット）／目標（アウトプット）＞（5）達成目標（アウトカム）」の5層で記述しております。例えば第6節（介護人材の養成・確保）は、事業4件、アウトプット目標6項目（初任介護支援専門員OJT研修25人/年、キャリアパス支援研修12,000人/年 ほか）、アウトカム1項目（介護支援専門員従事者数 R4 9,718人→R8 10,331人）という構成です。一方、当広域連合の第9期計画の第5章は「主な取組・管理指標・主体」の3列の表のみで、現状と課題、根拠データ、実施事業、アウトプット目標がございません。第10期基本指針案が「ロジックモデルの活用」を記載充実事項に挙げていることも踏まえ、第5章の記述構成を北海道と同じ5層に改めることを提案いたします。素案の3層構造（本文KPI12項目・補完4項目・施策管理指標）を、施策管理指標＝アウトプット、本文KPI＝アウトカムとして各節に割り付ける形になります。</w:t>
            </w:r>
          </w:p>
        </w:tc>
      </w:tr>
      <w:tr>
        <w:tc>
          <w:tcPr>
            <w:tcW w:type="dxa" w:w="1928"/>
          </w:tcPr>
          <w:p>
            <w:r/>
            <w:r>
              <w:rPr>
                <w:rFonts w:ascii="游ゴシック" w:hAnsi="游ゴシック" w:eastAsia="游ゴシック"/>
                <w:sz w:val="18"/>
              </w:rPr>
              <w:t>北海道の指標単位の読替え</w:t>
            </w:r>
          </w:p>
        </w:tc>
        <w:tc>
          <w:tcPr>
            <w:tcW w:type="dxa" w:w="7597"/>
          </w:tcPr>
          <w:p>
            <w:r/>
            <w:r>
              <w:rPr>
                <w:rFonts w:ascii="游ゴシック" w:hAnsi="游ゴシック" w:eastAsia="游ゴシック"/>
                <w:sz w:val="18"/>
              </w:rPr>
              <w:t>北海道の評価指標・達成目標には「市町村数」を単位とするものが多く（例：介護予防に資する住民主体の通いの場がある市町村数 R4 159→R8 全179市町村）、1保険者である当広域連合にはそのまま適用できません。①日常生活圏域数（6圏域）②実数・率③3町のうち実施している町数、のいずれかへの読替えが必要です。①は圏域設定の見直し、③は3町との合意が前提とな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なお、本書に記載した数値の根拠は「第10期計画_妥当性検証報告書」（全19シート）及び「第10期計画素案 第9稿→第10稿 修正指示書」（全59件）に整理しております。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