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回計画（第７期・第３期計画）の策定時には、令和５年９月に障がいのある方（身体障害者手帳、精神障害者保健福祉手帳、療育手帳所持者及び障がい福祉サービス利用者、計161人）を対象とした郵送アンケート調査を実施しました（回収率57.9％）。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7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令和11年（推計）</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2,394人</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2,185人</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111人（5.1％）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1,023人（46.8％）</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991人</w:t>
            </w:r>
          </w:p>
        </w:tc>
        <w:tc>
          <w:tcPr>
            <w:tcW w:w="1788" w:type="dxa"/>
            <w:tcMar>
              <w:top w:w="60" w:type="dxa"/>
              <w:left w:w="100" w:type="dxa"/>
              <w:bottom w:w="60" w:type="dxa"/>
              <w:right w:w="100" w:type="dxa"/>
            </w:tcMar>
            <w:vAlign w:val="center"/>
          </w:tcPr>
          <w:p>
            <w:r>
              <w:rPr>
                <w:rFonts w:ascii="BIZ UDPゴシック" w:hAnsi="BIZ UDPゴシック" w:eastAsia="BIZ UDPゴシック"/>
                <w:b w:val="0"/>
                <w:sz w:val="19"/>
              </w:rPr>
              <w:t>1,051人（48.1％）</w:t>
            </w:r>
          </w:p>
        </w:tc>
      </w:tr>
      <w:tr>
        <w:tc>
          <w:tcPr>
            <w:tcW w:w="2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78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令和９年度末</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令和10年度末</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令和11年度末</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度末には145人程度まで緩やかに減少する見通しです。ただし方法Ａ・方法Ｂの差が示すとおり幅のある暫定推計であり、単一の数値として確定表記することは避け、計画本文では幅を併記し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あわせて、業務委託仕様書に記載されたアンケート調査対象者数（身体約130人・精神約40人・療育約20人＝計約190人）と、本表の令和５年時点156人との差について、年数経過による自然増か、集計基準・対象年齢・サービス利用者の重複計上の違いによるものかを確認して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lastRenderedPageBreak/>
        <w:t>第3章　第４次北塩原村障がい者計画の推進状況（参考）</w:t>
      </w:r>
      <w:bookmarkEnd w:id="23"/>
    </w:p>
    <w:p w14:paraId="3BCCF63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令和６年度～令和11年度）は、本計画（第８期障がい福祉計画・第４期障がい児福祉計画）と一体的に推進される上位の計画であり、今回の見直しの対象ではありませんが、その基本理念・基本目標・目標値は本計画と同じ令和11年度を目標年度としています。ここでは、その内容を参考として整理します。</w:t>
      </w:r>
    </w:p>
    <w:p w14:paraId="410DA080" w14:textId="77777777" w:rsidR="00C311F8" w:rsidRPr="001026E7" w:rsidRDefault="00000000">
      <w:pPr>
        <w:pStyle w:val="3"/>
        <w:spacing w:before="200" w:after="100"/>
        <w:rPr>
          <w:rFonts w:ascii="BIZ UDPゴシック" w:eastAsia="BIZ UDPゴシック" w:hAnsi="BIZ UDPゴシック"/>
        </w:rPr>
      </w:pPr>
      <w:bookmarkStart w:id="24" w:name="_Toc236400027"/>
      <w:r w:rsidRPr="001026E7">
        <w:rPr>
          <w:rFonts w:ascii="BIZ UDPゴシック" w:eastAsia="BIZ UDPゴシック" w:hAnsi="BIZ UDPゴシック" w:cs="IPAexGothic, MS Gothic, Noto Sa"/>
          <w:b/>
          <w:bCs/>
          <w:color w:val="333333"/>
          <w:sz w:val="23"/>
          <w:szCs w:val="23"/>
        </w:rPr>
        <w:t>基本理念</w:t>
      </w:r>
      <w:bookmarkEnd w:id="24"/>
    </w:p>
    <w:p w14:paraId="42D31B27" w14:textId="77777777" w:rsidR="00C311F8" w:rsidRPr="001026E7" w:rsidRDefault="00000000">
      <w:pPr>
        <w:pBdr>
          <w:top w:val="single" w:sz="4" w:space="0" w:color="C9A03B"/>
          <w:bottom w:val="single" w:sz="4" w:space="0" w:color="C9A03B"/>
        </w:pBdr>
        <w:spacing w:before="100" w:after="1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2"/>
          <w:szCs w:val="22"/>
        </w:rPr>
        <w:t>「障がいのあるなしに関わらず、お互いの人格や個性を尊重し、多様な価値観を認め合い、誰もが自分らしく輝くむら」</w:t>
      </w:r>
    </w:p>
    <w:p w14:paraId="37C57A0A" w14:textId="77777777" w:rsidR="00C311F8" w:rsidRPr="001026E7" w:rsidRDefault="00000000">
      <w:pPr>
        <w:pStyle w:val="3"/>
        <w:spacing w:before="200" w:after="100"/>
        <w:rPr>
          <w:rFonts w:ascii="BIZ UDPゴシック" w:eastAsia="BIZ UDPゴシック" w:hAnsi="BIZ UDPゴシック"/>
        </w:rPr>
      </w:pPr>
      <w:bookmarkStart w:id="25" w:name="_Toc236400028"/>
      <w:r w:rsidRPr="001026E7">
        <w:rPr>
          <w:rFonts w:ascii="BIZ UDPゴシック" w:eastAsia="BIZ UDPゴシック" w:hAnsi="BIZ UDPゴシック" w:cs="IPAexGothic, MS Gothic, Noto Sa"/>
          <w:b/>
          <w:bCs/>
          <w:color w:val="333333"/>
          <w:sz w:val="23"/>
          <w:szCs w:val="23"/>
        </w:rPr>
        <w:t>基本目標</w:t>
      </w:r>
      <w:bookmarkEnd w:id="25"/>
    </w:p>
    <w:p w14:paraId="2DE7A76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・①障がいへの理解を深め、交流を育むむら</w:t>
      </w:r>
    </w:p>
    <w:p w14:paraId="2B0ED99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・②共に支え合い、誰もが安心して暮らせるむら</w:t>
      </w:r>
    </w:p>
    <w:p w14:paraId="73BF2DC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・③みんなが輝き、自立した生活を送れるむら</w:t>
      </w:r>
    </w:p>
    <w:p w14:paraId="084C3205" w14:textId="77777777" w:rsidR="00C311F8" w:rsidRPr="001026E7" w:rsidRDefault="00000000">
      <w:pPr>
        <w:pStyle w:val="3"/>
        <w:spacing w:before="200" w:after="100"/>
        <w:rPr>
          <w:rFonts w:ascii="BIZ UDPゴシック" w:eastAsia="BIZ UDPゴシック" w:hAnsi="BIZ UDPゴシック"/>
        </w:rPr>
      </w:pPr>
      <w:bookmarkStart w:id="26" w:name="_Toc236400029"/>
      <w:r w:rsidRPr="001026E7">
        <w:rPr>
          <w:rFonts w:ascii="BIZ UDPゴシック" w:eastAsia="BIZ UDPゴシック" w:hAnsi="BIZ UDPゴシック" w:cs="IPAexGothic, MS Gothic, Noto Sa"/>
          <w:b/>
          <w:bCs/>
          <w:color w:val="333333"/>
          <w:sz w:val="23"/>
          <w:szCs w:val="23"/>
        </w:rPr>
        <w:t>基本施策と令和11年度目標値（第４次計画より）</w:t>
      </w:r>
      <w:bookmarkEnd w:id="2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4200"/>
        <w:gridCol w:w="1769"/>
        <w:gridCol w:w="1769"/>
      </w:tblGrid>
      <w:tr w:rsidR="00C311F8" w:rsidRPr="001026E7" w14:paraId="4FB59CD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6E278D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基本施策</w:t>
            </w:r>
          </w:p>
        </w:tc>
        <w:tc>
          <w:tcPr>
            <w:tcW w:w="4200" w:type="dxa"/>
            <w:shd w:val="clear" w:color="auto" w:fill="1F3864"/>
            <w:tcMar>
              <w:top w:w="60" w:type="dxa"/>
              <w:left w:w="100" w:type="dxa"/>
              <w:bottom w:w="60" w:type="dxa"/>
              <w:right w:w="100" w:type="dxa"/>
            </w:tcMar>
            <w:vAlign w:val="center"/>
          </w:tcPr>
          <w:p w14:paraId="7E7432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指標項目</w:t>
            </w:r>
          </w:p>
        </w:tc>
        <w:tc>
          <w:tcPr>
            <w:tcW w:w="1769" w:type="dxa"/>
            <w:shd w:val="clear" w:color="auto" w:fill="1F3864"/>
            <w:tcMar>
              <w:top w:w="60" w:type="dxa"/>
              <w:left w:w="100" w:type="dxa"/>
              <w:bottom w:w="60" w:type="dxa"/>
              <w:right w:w="100" w:type="dxa"/>
            </w:tcMar>
            <w:vAlign w:val="center"/>
          </w:tcPr>
          <w:p w14:paraId="4ACE62A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現状（R5）</w:t>
            </w:r>
          </w:p>
        </w:tc>
        <w:tc>
          <w:tcPr>
            <w:tcW w:w="1769" w:type="dxa"/>
            <w:shd w:val="clear" w:color="auto" w:fill="1F3864"/>
            <w:tcMar>
              <w:top w:w="60" w:type="dxa"/>
              <w:left w:w="100" w:type="dxa"/>
              <w:bottom w:w="60" w:type="dxa"/>
              <w:right w:w="100" w:type="dxa"/>
            </w:tcMar>
            <w:vAlign w:val="center"/>
          </w:tcPr>
          <w:p w14:paraId="6AAB7B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目標（R11）</w:t>
            </w:r>
          </w:p>
        </w:tc>
      </w:tr>
      <w:tr w:rsidR="00C311F8" w:rsidRPr="001026E7" w14:paraId="58F1A169" w14:textId="77777777">
        <w:tblPrEx>
          <w:tblCellMar>
            <w:top w:w="0" w:type="dxa"/>
            <w:bottom w:w="0" w:type="dxa"/>
          </w:tblCellMar>
        </w:tblPrEx>
        <w:tc>
          <w:tcPr>
            <w:tcW w:w="1900" w:type="dxa"/>
            <w:tcMar>
              <w:top w:w="60" w:type="dxa"/>
              <w:left w:w="100" w:type="dxa"/>
              <w:bottom w:w="60" w:type="dxa"/>
              <w:right w:w="100" w:type="dxa"/>
            </w:tcMar>
            <w:vAlign w:val="center"/>
          </w:tcPr>
          <w:p w14:paraId="054E55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①啓発・広報</w:t>
            </w:r>
          </w:p>
        </w:tc>
        <w:tc>
          <w:tcPr>
            <w:tcW w:w="4200" w:type="dxa"/>
            <w:tcMar>
              <w:top w:w="60" w:type="dxa"/>
              <w:left w:w="100" w:type="dxa"/>
              <w:bottom w:w="60" w:type="dxa"/>
              <w:right w:w="100" w:type="dxa"/>
            </w:tcMar>
            <w:vAlign w:val="center"/>
          </w:tcPr>
          <w:p w14:paraId="292733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差別や偏見を感じている障がいがある人の割合</w:t>
            </w:r>
          </w:p>
        </w:tc>
        <w:tc>
          <w:tcPr>
            <w:tcW w:w="1769" w:type="dxa"/>
            <w:tcMar>
              <w:top w:w="60" w:type="dxa"/>
              <w:left w:w="100" w:type="dxa"/>
              <w:bottom w:w="60" w:type="dxa"/>
              <w:right w:w="100" w:type="dxa"/>
            </w:tcMar>
            <w:vAlign w:val="center"/>
          </w:tcPr>
          <w:p w14:paraId="5FEB16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25.3％</w:t>
            </w:r>
          </w:p>
        </w:tc>
        <w:tc>
          <w:tcPr>
            <w:tcW w:w="1769" w:type="dxa"/>
            <w:tcMar>
              <w:top w:w="60" w:type="dxa"/>
              <w:left w:w="100" w:type="dxa"/>
              <w:bottom w:w="60" w:type="dxa"/>
              <w:right w:w="100" w:type="dxa"/>
            </w:tcMar>
            <w:vAlign w:val="center"/>
          </w:tcPr>
          <w:p w14:paraId="58D405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15％</w:t>
            </w:r>
          </w:p>
        </w:tc>
      </w:tr>
      <w:tr w:rsidR="00C311F8" w:rsidRPr="001026E7" w14:paraId="34F02338"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8CA26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②保健・医療</w:t>
            </w:r>
          </w:p>
        </w:tc>
        <w:tc>
          <w:tcPr>
            <w:tcW w:w="4200" w:type="dxa"/>
            <w:shd w:val="clear" w:color="auto" w:fill="F2F2F2"/>
            <w:tcMar>
              <w:top w:w="60" w:type="dxa"/>
              <w:left w:w="100" w:type="dxa"/>
              <w:bottom w:w="60" w:type="dxa"/>
              <w:right w:w="100" w:type="dxa"/>
            </w:tcMar>
            <w:vAlign w:val="center"/>
          </w:tcPr>
          <w:p w14:paraId="0E40DC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特定健康診査の受診率</w:t>
            </w:r>
          </w:p>
        </w:tc>
        <w:tc>
          <w:tcPr>
            <w:tcW w:w="1769" w:type="dxa"/>
            <w:shd w:val="clear" w:color="auto" w:fill="F2F2F2"/>
            <w:tcMar>
              <w:top w:w="60" w:type="dxa"/>
              <w:left w:w="100" w:type="dxa"/>
              <w:bottom w:w="60" w:type="dxa"/>
              <w:right w:w="100" w:type="dxa"/>
            </w:tcMar>
            <w:vAlign w:val="center"/>
          </w:tcPr>
          <w:p w14:paraId="69691D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51.3％</w:t>
            </w:r>
          </w:p>
        </w:tc>
        <w:tc>
          <w:tcPr>
            <w:tcW w:w="1769" w:type="dxa"/>
            <w:shd w:val="clear" w:color="auto" w:fill="F2F2F2"/>
            <w:tcMar>
              <w:top w:w="60" w:type="dxa"/>
              <w:left w:w="100" w:type="dxa"/>
              <w:bottom w:w="60" w:type="dxa"/>
              <w:right w:w="100" w:type="dxa"/>
            </w:tcMar>
            <w:vAlign w:val="center"/>
          </w:tcPr>
          <w:p w14:paraId="00A780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DCF2FC6" w14:textId="77777777">
        <w:tblPrEx>
          <w:tblCellMar>
            <w:top w:w="0" w:type="dxa"/>
            <w:bottom w:w="0" w:type="dxa"/>
          </w:tblCellMar>
        </w:tblPrEx>
        <w:tc>
          <w:tcPr>
            <w:tcW w:w="1900" w:type="dxa"/>
            <w:tcMar>
              <w:top w:w="60" w:type="dxa"/>
              <w:left w:w="100" w:type="dxa"/>
              <w:bottom w:w="60" w:type="dxa"/>
              <w:right w:w="100" w:type="dxa"/>
            </w:tcMar>
            <w:vAlign w:val="center"/>
          </w:tcPr>
          <w:p w14:paraId="7B83DA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③福祉</w:t>
            </w:r>
          </w:p>
        </w:tc>
        <w:tc>
          <w:tcPr>
            <w:tcW w:w="4200" w:type="dxa"/>
            <w:tcMar>
              <w:top w:w="60" w:type="dxa"/>
              <w:left w:w="100" w:type="dxa"/>
              <w:bottom w:w="60" w:type="dxa"/>
              <w:right w:w="100" w:type="dxa"/>
            </w:tcMar>
            <w:vAlign w:val="center"/>
          </w:tcPr>
          <w:p w14:paraId="0C6297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現在利用している福祉サービスに満足している人の割合</w:t>
            </w:r>
          </w:p>
        </w:tc>
        <w:tc>
          <w:tcPr>
            <w:tcW w:w="1769" w:type="dxa"/>
            <w:tcMar>
              <w:top w:w="60" w:type="dxa"/>
              <w:left w:w="100" w:type="dxa"/>
              <w:bottom w:w="60" w:type="dxa"/>
              <w:right w:w="100" w:type="dxa"/>
            </w:tcMar>
            <w:vAlign w:val="center"/>
          </w:tcPr>
          <w:p w14:paraId="3D52BC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52％</w:t>
            </w:r>
          </w:p>
        </w:tc>
        <w:tc>
          <w:tcPr>
            <w:tcW w:w="1769" w:type="dxa"/>
            <w:tcMar>
              <w:top w:w="60" w:type="dxa"/>
              <w:left w:w="100" w:type="dxa"/>
              <w:bottom w:w="60" w:type="dxa"/>
              <w:right w:w="100" w:type="dxa"/>
            </w:tcMar>
            <w:vAlign w:val="center"/>
          </w:tcPr>
          <w:p w14:paraId="2A2523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491DC3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068B6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④教育・育成</w:t>
            </w:r>
          </w:p>
        </w:tc>
        <w:tc>
          <w:tcPr>
            <w:tcW w:w="4200" w:type="dxa"/>
            <w:shd w:val="clear" w:color="auto" w:fill="F2F2F2"/>
            <w:tcMar>
              <w:top w:w="60" w:type="dxa"/>
              <w:left w:w="100" w:type="dxa"/>
              <w:bottom w:w="60" w:type="dxa"/>
              <w:right w:w="100" w:type="dxa"/>
            </w:tcMar>
            <w:vAlign w:val="center"/>
          </w:tcPr>
          <w:p w14:paraId="0C1D7CD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医療的ケア児の受入れ体制の整備</w:t>
            </w:r>
          </w:p>
        </w:tc>
        <w:tc>
          <w:tcPr>
            <w:tcW w:w="1769" w:type="dxa"/>
            <w:shd w:val="clear" w:color="auto" w:fill="F2F2F2"/>
            <w:tcMar>
              <w:top w:w="60" w:type="dxa"/>
              <w:left w:w="100" w:type="dxa"/>
              <w:bottom w:w="60" w:type="dxa"/>
              <w:right w:w="100" w:type="dxa"/>
            </w:tcMar>
            <w:vAlign w:val="center"/>
          </w:tcPr>
          <w:p w14:paraId="624A6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無</w:t>
            </w:r>
          </w:p>
        </w:tc>
        <w:tc>
          <w:tcPr>
            <w:tcW w:w="1769" w:type="dxa"/>
            <w:shd w:val="clear" w:color="auto" w:fill="F2F2F2"/>
            <w:tcMar>
              <w:top w:w="60" w:type="dxa"/>
              <w:left w:w="100" w:type="dxa"/>
              <w:bottom w:w="60" w:type="dxa"/>
              <w:right w:w="100" w:type="dxa"/>
            </w:tcMar>
            <w:vAlign w:val="center"/>
          </w:tcPr>
          <w:p w14:paraId="5C0C72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有</w:t>
            </w:r>
          </w:p>
        </w:tc>
      </w:tr>
      <w:tr w:rsidR="00C311F8" w:rsidRPr="001026E7" w14:paraId="328BFE59" w14:textId="77777777">
        <w:tblPrEx>
          <w:tblCellMar>
            <w:top w:w="0" w:type="dxa"/>
            <w:bottom w:w="0" w:type="dxa"/>
          </w:tblCellMar>
        </w:tblPrEx>
        <w:tc>
          <w:tcPr>
            <w:tcW w:w="1900" w:type="dxa"/>
            <w:tcMar>
              <w:top w:w="60" w:type="dxa"/>
              <w:left w:w="100" w:type="dxa"/>
              <w:bottom w:w="60" w:type="dxa"/>
              <w:right w:w="100" w:type="dxa"/>
            </w:tcMar>
            <w:vAlign w:val="center"/>
          </w:tcPr>
          <w:p w14:paraId="4AB9EE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⑤雇用・就業</w:t>
            </w:r>
          </w:p>
        </w:tc>
        <w:tc>
          <w:tcPr>
            <w:tcW w:w="4200" w:type="dxa"/>
            <w:tcMar>
              <w:top w:w="60" w:type="dxa"/>
              <w:left w:w="100" w:type="dxa"/>
              <w:bottom w:w="60" w:type="dxa"/>
              <w:right w:w="100" w:type="dxa"/>
            </w:tcMar>
            <w:vAlign w:val="center"/>
          </w:tcPr>
          <w:p w14:paraId="5A0105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障がい者就労施設等からの物品調達件数</w:t>
            </w:r>
          </w:p>
        </w:tc>
        <w:tc>
          <w:tcPr>
            <w:tcW w:w="1769" w:type="dxa"/>
            <w:tcMar>
              <w:top w:w="60" w:type="dxa"/>
              <w:left w:w="100" w:type="dxa"/>
              <w:bottom w:w="60" w:type="dxa"/>
              <w:right w:w="100" w:type="dxa"/>
            </w:tcMar>
            <w:vAlign w:val="center"/>
          </w:tcPr>
          <w:p w14:paraId="74441DC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1769" w:type="dxa"/>
            <w:tcMar>
              <w:top w:w="60" w:type="dxa"/>
              <w:left w:w="100" w:type="dxa"/>
              <w:bottom w:w="60" w:type="dxa"/>
              <w:right w:w="100" w:type="dxa"/>
            </w:tcMar>
            <w:vAlign w:val="center"/>
          </w:tcPr>
          <w:p w14:paraId="7438651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３件</w:t>
            </w:r>
          </w:p>
        </w:tc>
      </w:tr>
      <w:tr w:rsidR="00C311F8" w:rsidRPr="001026E7" w14:paraId="2586E292"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FA97D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shd w:val="clear" w:color="auto" w:fill="F2F2F2"/>
            <w:tcMar>
              <w:top w:w="60" w:type="dxa"/>
              <w:left w:w="100" w:type="dxa"/>
              <w:bottom w:w="60" w:type="dxa"/>
              <w:right w:w="100" w:type="dxa"/>
            </w:tcMar>
            <w:vAlign w:val="center"/>
          </w:tcPr>
          <w:p w14:paraId="642FBB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障がい者に配慮した公共施設トイレの設置率</w:t>
            </w:r>
          </w:p>
        </w:tc>
        <w:tc>
          <w:tcPr>
            <w:tcW w:w="1769" w:type="dxa"/>
            <w:shd w:val="clear" w:color="auto" w:fill="F2F2F2"/>
            <w:tcMar>
              <w:top w:w="60" w:type="dxa"/>
              <w:left w:w="100" w:type="dxa"/>
              <w:bottom w:w="60" w:type="dxa"/>
              <w:right w:w="100" w:type="dxa"/>
            </w:tcMar>
            <w:vAlign w:val="center"/>
          </w:tcPr>
          <w:p w14:paraId="1642DF5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56.8％</w:t>
            </w:r>
          </w:p>
        </w:tc>
        <w:tc>
          <w:tcPr>
            <w:tcW w:w="1769" w:type="dxa"/>
            <w:shd w:val="clear" w:color="auto" w:fill="F2F2F2"/>
            <w:tcMar>
              <w:top w:w="60" w:type="dxa"/>
              <w:left w:w="100" w:type="dxa"/>
              <w:bottom w:w="60" w:type="dxa"/>
              <w:right w:w="100" w:type="dxa"/>
            </w:tcMar>
            <w:vAlign w:val="center"/>
          </w:tcPr>
          <w:p w14:paraId="1E7FBD1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r>
      <w:tr w:rsidR="00C311F8" w:rsidRPr="001026E7" w14:paraId="45E8A3F9" w14:textId="77777777">
        <w:tblPrEx>
          <w:tblCellMar>
            <w:top w:w="0" w:type="dxa"/>
            <w:bottom w:w="0" w:type="dxa"/>
          </w:tblCellMar>
        </w:tblPrEx>
        <w:tc>
          <w:tcPr>
            <w:tcW w:w="1900" w:type="dxa"/>
            <w:tcMar>
              <w:top w:w="60" w:type="dxa"/>
              <w:left w:w="100" w:type="dxa"/>
              <w:bottom w:w="60" w:type="dxa"/>
              <w:right w:w="100" w:type="dxa"/>
            </w:tcMar>
            <w:vAlign w:val="center"/>
          </w:tcPr>
          <w:p w14:paraId="42AEB7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tcMar>
              <w:top w:w="60" w:type="dxa"/>
              <w:left w:w="100" w:type="dxa"/>
              <w:bottom w:w="60" w:type="dxa"/>
              <w:right w:w="100" w:type="dxa"/>
            </w:tcMar>
            <w:vAlign w:val="center"/>
          </w:tcPr>
          <w:p w14:paraId="43B460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個別避難計画の策定件数</w:t>
            </w:r>
          </w:p>
        </w:tc>
        <w:tc>
          <w:tcPr>
            <w:tcW w:w="1769" w:type="dxa"/>
            <w:tcMar>
              <w:top w:w="60" w:type="dxa"/>
              <w:left w:w="100" w:type="dxa"/>
              <w:bottom w:w="60" w:type="dxa"/>
              <w:right w:w="100" w:type="dxa"/>
            </w:tcMar>
            <w:vAlign w:val="center"/>
          </w:tcPr>
          <w:p w14:paraId="79F097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１件</w:t>
            </w:r>
          </w:p>
        </w:tc>
        <w:tc>
          <w:tcPr>
            <w:tcW w:w="1769" w:type="dxa"/>
            <w:tcMar>
              <w:top w:w="60" w:type="dxa"/>
              <w:left w:w="100" w:type="dxa"/>
              <w:bottom w:w="60" w:type="dxa"/>
              <w:right w:w="100" w:type="dxa"/>
            </w:tcMar>
            <w:vAlign w:val="center"/>
          </w:tcPr>
          <w:p w14:paraId="1E01CB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10件</w:t>
            </w:r>
          </w:p>
        </w:tc>
      </w:tr>
      <w:tr w:rsidR="00C311F8" w:rsidRPr="001026E7" w14:paraId="1FD708B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8E763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⑦スポーツ・文化</w:t>
            </w:r>
          </w:p>
        </w:tc>
        <w:tc>
          <w:tcPr>
            <w:tcW w:w="4200" w:type="dxa"/>
            <w:shd w:val="clear" w:color="auto" w:fill="F2F2F2"/>
            <w:tcMar>
              <w:top w:w="60" w:type="dxa"/>
              <w:left w:w="100" w:type="dxa"/>
              <w:bottom w:w="60" w:type="dxa"/>
              <w:right w:w="100" w:type="dxa"/>
            </w:tcMar>
            <w:vAlign w:val="center"/>
          </w:tcPr>
          <w:p w14:paraId="2FDA0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外出目的が趣味・スポーツ・グループ活動である人の割合</w:t>
            </w:r>
          </w:p>
        </w:tc>
        <w:tc>
          <w:tcPr>
            <w:tcW w:w="1769" w:type="dxa"/>
            <w:shd w:val="clear" w:color="auto" w:fill="F2F2F2"/>
            <w:tcMar>
              <w:top w:w="60" w:type="dxa"/>
              <w:left w:w="100" w:type="dxa"/>
              <w:bottom w:w="60" w:type="dxa"/>
              <w:right w:w="100" w:type="dxa"/>
            </w:tcMar>
            <w:vAlign w:val="center"/>
          </w:tcPr>
          <w:p w14:paraId="5B7638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28.1％</w:t>
            </w:r>
          </w:p>
        </w:tc>
        <w:tc>
          <w:tcPr>
            <w:tcW w:w="1769" w:type="dxa"/>
            <w:shd w:val="clear" w:color="auto" w:fill="F2F2F2"/>
            <w:tcMar>
              <w:top w:w="60" w:type="dxa"/>
              <w:left w:w="100" w:type="dxa"/>
              <w:bottom w:w="60" w:type="dxa"/>
              <w:right w:w="100" w:type="dxa"/>
            </w:tcMar>
            <w:vAlign w:val="center"/>
          </w:tcPr>
          <w:p w14:paraId="6165F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w:t>
            </w:r>
          </w:p>
        </w:tc>
      </w:tr>
    </w:tbl>
    <w:p w14:paraId="1775E6D7"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898D99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1258C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【要更新・要確認】上記は第４次計画（令和６年３月策定時点）の目標値です。中間年（令和８年度）評価の実施結果を踏まえ、進捗状況の記載を追記してください。</w:t>
            </w:r>
          </w:p>
        </w:tc>
      </w:tr>
    </w:tbl>
    <w:p w14:paraId="5ADF51C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本計画（第８期障がい福祉計画・第４期障がい児福祉計画）は、上記基本目標・基本施策の実現に向けた具体的なサービス見込量及び成果目標を、次章以降で定めるものです。</w:t>
      </w:r>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A41A52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地域移行者数：令和７年度末施設入所者数の６％以上</w:t>
            </w:r>
          </w:p>
          <w:p w14:paraId="336A709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施設入所者数：令和７年度末の５％以上削減</w:t>
            </w:r>
          </w:p>
        </w:tc>
      </w:tr>
    </w:tbl>
    <w:p w14:paraId="5C5B076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の施設入所者数は、令和５年度末時点で４人（全員が重度の身体障がい又は重度の知的障がい）であり、前期計画（第７期）では、地域移行及び施設入所者数の削減が困難であるとして目標を０人としていました。令和７年度末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1C45BC5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精神病床から退院後１年以内の地域における平均生活日数：319.3日以上</w:t>
            </w:r>
          </w:p>
          <w:p w14:paraId="3A57A88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精神病床への30日以上の再入院率：退院後90日時点10.3％以下、180日時点17.4％以下、365日時点25.7％以下【新規】</w:t>
            </w:r>
          </w:p>
          <w:p w14:paraId="4FE9291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心のサポーター数：全国で令和15年度末までに100万人以上【新規】</w:t>
            </w:r>
          </w:p>
          <w:p w14:paraId="3EDA66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Ｋ６等を活用した住民のこころの状態の把握【新規】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48BD0C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一般就労移行者数：令和６年度実績の1.31倍以上</w:t>
            </w:r>
          </w:p>
          <w:p w14:paraId="62D6014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就労移行支援事業利用終了者に占める一般就労移行者の割合が５割以上の事業所：就労移行支援事業所の５割以上</w:t>
            </w:r>
          </w:p>
          <w:p w14:paraId="46FB81C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就労定着支援事業の利用者数：令和６年度末実績の1.47倍以上</w:t>
            </w:r>
          </w:p>
          <w:p w14:paraId="39AE23E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就労定着率７割以上の就労定着支援事業所：全体の２割５分以上</w:t>
            </w:r>
          </w:p>
          <w:p w14:paraId="68A43D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就労選択支援：協議会設置圏域ごとに事業所を設置し、令和11年度の利用者数を全国で82,000人以上【新規】</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61C8A4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児童発達支援センター等における「４つの中核機能」の確保：各市町村又は圏域</w:t>
            </w:r>
          </w:p>
          <w:p w14:paraId="2FF1B4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lastRenderedPageBreak/>
              <w:t xml:space="preserve">　（ⅰ）幅広い高度な専門性に基づく発達支援・家族支援機能</w:t>
            </w:r>
          </w:p>
          <w:p w14:paraId="66B0770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（ⅱ）地域の障害児通所支援事業所へのスーパーバイズ・コンサルテーション機能</w:t>
            </w:r>
          </w:p>
          <w:p w14:paraId="1AD4223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（ⅲ）地域のインクルージョン推進の中核としての機能</w:t>
            </w:r>
          </w:p>
          <w:p w14:paraId="573242F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（ⅳ）地域の障がい児の発達支援の入口としての相談機能</w:t>
            </w:r>
          </w:p>
          <w:p w14:paraId="3E3F0E0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インクルージョン推進のための協議の場の設置：各都道府県・各市町村又は圏域【新規】</w:t>
            </w:r>
          </w:p>
          <w:p w14:paraId="1409699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医療的ケア児等コーディネーターの配置：各都道府県・各市町村又は圏域</w:t>
            </w:r>
          </w:p>
          <w:p w14:paraId="4824EA9F"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障がい児等への伴走的な相談支援体制の構築（のぞまないセルフプランの解消）【新規】</w:t>
            </w:r>
          </w:p>
          <w:p w14:paraId="4B49C00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強度行動障害の状態にある児に関する支援ニーズの把握及び支援体制の整備【新規】</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789B50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各市町村において地域生活支援拠点等を整備し、コーディネーターの配置等による支援体制及び緊急時の連絡体制を構築、年１回以上運用状況を検証・検討する</w:t>
            </w:r>
          </w:p>
          <w:p w14:paraId="797652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強度行動障害を有する者について、各市町村又は圏域において支援ニーズを把握し、支援体制の整備を進める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E9A7C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各市町村における基幹相談支援センターの設置等の推進</w:t>
            </w:r>
          </w:p>
          <w:p w14:paraId="77AD63C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相談支援体制の地域診断を行った上で体制強化を図ることにより、令和11年度末までに「のぞまないセルフプラン」の件数をゼロとする【新規】</w:t>
            </w:r>
          </w:p>
          <w:p w14:paraId="51DA3B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協議会における個別事例の検討を通じた地域サービス基盤の開発・改善、協議会への障がい当事者の参画</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6CE0D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都道府県及び市町村におけるサービスの質向上のための体制構築</w:t>
            </w:r>
          </w:p>
          <w:p w14:paraId="09EF220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障害福祉サービス等情報公表制度における管内事業所の公表率及び更新率（毎年度１回）を100％とする【新規】</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１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２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３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４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５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６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７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８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９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