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12件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10件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40件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1074段落158表36図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第4章第3節の一覧・各基本目標の達成目標・資料1の3か所に同じKPIが現れる。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発注者へ送付する成果品に当方の判定方法を書いていた</w:t>
            </w:r>
          </w:p>
        </w:tc>
        <w:tc>
          <w:tcPr>
            <w:tcW w:type="dxa" w:w="2608"/>
            <w:vAlign w:val="center"/>
          </w:tcPr>
          <w:p>
            <w:pPr>
              <w:spacing w:after="0"/>
            </w:pPr>
            <w:r>
              <w:rPr>
                <w:rFonts w:ascii="游ゴシック" w:hAnsi="游ゴシック" w:eastAsia="游ゴシック"/>
                <w:b w:val="0"/>
                <w:sz w:val="18"/>
              </w:rPr>
              <w:t>集計分析報告書 12シートの注に「計画素案の本文と表を章節ごとに読んで判定している。固定値では書いていない」と書き、00シートにも「計画素案の実物を読んで判定する」と書いていた。9月業務報告の表1にも「反映状況を章節ごとに確認して改めた」とあった</w:t>
            </w:r>
          </w:p>
        </w:tc>
        <w:tc>
          <w:tcPr>
            <w:tcW w:type="dxa" w:w="2041"/>
            <w:vAlign w:val="center"/>
          </w:tcPr>
          <w:p>
            <w:pPr>
              <w:spacing w:after="0"/>
            </w:pPr>
            <w:r>
              <w:rPr>
                <w:rFonts w:ascii="游ゴシック" w:hAnsi="游ゴシック" w:eastAsia="游ゴシック"/>
                <w:b w:val="0"/>
                <w:sz w:val="18"/>
              </w:rPr>
              <w:t>令和8年9月24日のご指示（発注者へ提供する文章に受託者の内部の仕組み・作業経過を書かない）を9月業務報告にだけ当て、集計分析報告書と結果報告書に当てていなかった</w:t>
            </w:r>
          </w:p>
        </w:tc>
        <w:tc>
          <w:tcPr>
            <w:tcW w:type="dxa" w:w="3175"/>
            <w:vAlign w:val="center"/>
          </w:tcPr>
          <w:p>
            <w:pPr>
              <w:spacing w:after="0"/>
            </w:pPr>
            <w:r>
              <w:rPr>
                <w:rFonts w:ascii="游ゴシック" w:hAnsi="游ゴシック" w:eastAsia="游ゴシック"/>
                <w:b w:val="0"/>
                <w:sz w:val="18"/>
              </w:rPr>
              <w:t>注を「計画素案に反映されているものである」に改めた。送付区分が「送付」の成果品は、内部の仕組みの語（固定値・実物から・章節ごとに・判定している・スクリプト名）で本文と表を機械的に走査する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報告書の見込量が計画素案と食い違っていた</w:t>
            </w:r>
          </w:p>
        </w:tc>
        <w:tc>
          <w:tcPr>
            <w:tcW w:type="dxa" w:w="2608"/>
            <w:shd w:val="clear" w:color="auto" w:fill="F2F5FA"/>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shd w:val="clear" w:color="auto" w:fill="F2F5FA"/>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shd w:val="clear" w:color="auto" w:fill="F2F5FA"/>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vAlign w:val="center"/>
          </w:tcPr>
          <w:p>
            <w:pPr>
              <w:spacing w:after="0"/>
            </w:pPr>
            <w:r>
              <w:rPr>
                <w:rFonts w:ascii="游ゴシック" w:hAnsi="游ゴシック" w:eastAsia="游ゴシック"/>
                <w:b/>
                <w:sz w:val="18"/>
              </w:rPr>
              <w:t>12シートが反映状況を持っていなかった</w:t>
            </w:r>
          </w:p>
        </w:tc>
        <w:tc>
          <w:tcPr>
            <w:tcW w:type="dxa" w:w="2608"/>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語の有無だけの判定で偽陽性が出た</w:t>
            </w:r>
          </w:p>
        </w:tc>
        <w:tc>
          <w:tcPr>
            <w:tcW w:type="dxa" w:w="2608"/>
            <w:shd w:val="clear" w:color="auto" w:fill="F2F5FA"/>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shd w:val="clear" w:color="auto" w:fill="F2F5FA"/>
            <w:vAlign w:val="center"/>
          </w:tcPr>
          <w:p>
            <w:pPr>
              <w:spacing w:after="0"/>
            </w:pPr>
            <w:r>
              <w:rPr>
                <w:rFonts w:ascii="游ゴシック" w:hAnsi="游ゴシック" w:eastAsia="游ゴシック"/>
                <w:b w:val="0"/>
                <w:sz w:val="18"/>
              </w:rPr>
              <w:t>素案全体で語を検索していた</w:t>
            </w:r>
          </w:p>
        </w:tc>
        <w:tc>
          <w:tcPr>
            <w:tcW w:type="dxa" w:w="3175"/>
            <w:shd w:val="clear" w:color="auto" w:fill="F2F5FA"/>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vAlign w:val="center"/>
          </w:tcPr>
          <w:p>
            <w:pPr>
              <w:spacing w:after="0"/>
            </w:pPr>
            <w:r>
              <w:rPr>
                <w:rFonts w:ascii="游ゴシック" w:hAnsi="游ゴシック" w:eastAsia="游ゴシック"/>
                <w:b/>
                <w:sz w:val="18"/>
              </w:rPr>
              <w:t>過去の時点の報告が現時点の値を読んでいた</w:t>
            </w:r>
          </w:p>
        </w:tc>
        <w:tc>
          <w:tcPr>
            <w:tcW w:type="dxa" w:w="2608"/>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禁止表現が残っていた</w:t>
            </w:r>
          </w:p>
        </w:tc>
        <w:tc>
          <w:tcPr>
            <w:tcW w:type="dxa" w:w="2608"/>
            <w:shd w:val="clear" w:color="auto" w:fill="F2F5FA"/>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shd w:val="clear" w:color="auto" w:fill="F2F5FA"/>
            <w:vAlign w:val="center"/>
          </w:tcPr>
          <w:p>
            <w:pPr>
              <w:spacing w:after="0"/>
            </w:pPr>
            <w:r>
              <w:rPr>
                <w:rFonts w:ascii="游ゴシック" w:hAnsi="游ゴシック" w:eastAsia="游ゴシック"/>
                <w:b w:val="0"/>
                <w:sz w:val="18"/>
              </w:rPr>
              <w:t>根拠として「整合する」を使っていた</w:t>
            </w:r>
          </w:p>
        </w:tc>
        <w:tc>
          <w:tcPr>
            <w:tcW w:type="dxa" w:w="3175"/>
            <w:shd w:val="clear" w:color="auto" w:fill="F2F5FA"/>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vAlign w:val="center"/>
          </w:tcPr>
          <w:p>
            <w:pPr>
              <w:spacing w:after="0"/>
            </w:pPr>
            <w:r>
              <w:rPr>
                <w:rFonts w:ascii="游ゴシック" w:hAnsi="游ゴシック" w:eastAsia="游ゴシック"/>
                <w:b/>
                <w:sz w:val="18"/>
              </w:rPr>
              <w:t>docx が Markdown を解釈せずアスタリスクが本文に出た</w:t>
            </w:r>
          </w:p>
        </w:tc>
        <w:tc>
          <w:tcPr>
            <w:tcW w:type="dxa" w:w="2608"/>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vAlign w:val="center"/>
          </w:tcPr>
          <w:p>
            <w:pPr>
              <w:spacing w:after="0"/>
            </w:pPr>
            <w:r>
              <w:rPr>
                <w:rFonts w:ascii="游ゴシック" w:hAnsi="游ゴシック" w:eastAsia="游ゴシック"/>
                <w:b w:val="0"/>
                <w:sz w:val="18"/>
              </w:rPr>
              <w:t>python-docx は Markdown を解釈しない</w:t>
            </w:r>
          </w:p>
        </w:tc>
        <w:tc>
          <w:tcPr>
            <w:tcW w:type="dxa" w:w="3175"/>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割合の分母を取り違えていた</w:t>
            </w:r>
          </w:p>
        </w:tc>
        <w:tc>
          <w:tcPr>
            <w:tcW w:type="dxa" w:w="2608"/>
            <w:shd w:val="clear" w:color="auto" w:fill="F2F5FA"/>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shd w:val="clear" w:color="auto" w:fill="F2F5FA"/>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shd w:val="clear" w:color="auto" w:fill="F2F5FA"/>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vAlign w:val="center"/>
          </w:tcPr>
          <w:p>
            <w:pPr>
              <w:spacing w:after="0"/>
            </w:pPr>
            <w:r>
              <w:rPr>
                <w:rFonts w:ascii="游ゴシック" w:hAnsi="游ゴシック" w:eastAsia="游ゴシック"/>
                <w:b/>
                <w:sz w:val="18"/>
              </w:rPr>
              <w:t>推計を実績のように書いていた</w:t>
            </w:r>
          </w:p>
        </w:tc>
        <w:tc>
          <w:tcPr>
            <w:tcW w:type="dxa" w:w="2608"/>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同じ項目に2つの数値があった</w:t>
            </w:r>
          </w:p>
        </w:tc>
        <w:tc>
          <w:tcPr>
            <w:tcW w:type="dxa" w:w="2608"/>
            <w:shd w:val="clear" w:color="auto" w:fill="F2F5FA"/>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shd w:val="clear" w:color="auto" w:fill="F2F5FA"/>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shd w:val="clear" w:color="auto" w:fill="F2F5FA"/>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vAlign w:val="center"/>
          </w:tcPr>
          <w:p>
            <w:pPr>
              <w:spacing w:after="0"/>
            </w:pPr>
            <w:r>
              <w:rPr>
                <w:rFonts w:ascii="游ゴシック" w:hAnsi="游ゴシック" w:eastAsia="游ゴシック"/>
                <w:b/>
                <w:sz w:val="18"/>
              </w:rPr>
              <w:t>存在しない章節を反映先としていた</w:t>
            </w:r>
          </w:p>
        </w:tc>
        <w:tc>
          <w:tcPr>
            <w:tcW w:type="dxa" w:w="2608"/>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発注者提出用に当方の内部の仕組みが出ていた</w:t>
            </w:r>
          </w:p>
        </w:tc>
        <w:tc>
          <w:tcPr>
            <w:tcW w:type="dxa" w:w="2608"/>
            <w:shd w:val="clear" w:color="auto" w:fill="F2F5FA"/>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shd w:val="clear" w:color="auto" w:fill="F2F5FA"/>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shd w:val="clear" w:color="auto" w:fill="F2F5FA"/>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vAlign w:val="center"/>
          </w:tcPr>
          <w:p>
            <w:pPr>
              <w:spacing w:after="0"/>
            </w:pPr>
            <w:r>
              <w:rPr>
                <w:rFonts w:ascii="游ゴシック" w:hAnsi="游ゴシック" w:eastAsia="游ゴシック"/>
                <w:b/>
                <w:sz w:val="18"/>
              </w:rPr>
              <w:t>割合の分母を回収票数のままにしていた</w:t>
            </w:r>
          </w:p>
        </w:tc>
        <w:tc>
          <w:tcPr>
            <w:tcW w:type="dxa" w:w="2608"/>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要介護度の有効回答を別の設問の分母に流用していた</w:t>
            </w:r>
          </w:p>
        </w:tc>
        <w:tc>
          <w:tcPr>
            <w:tcW w:type="dxa" w:w="2608"/>
            <w:shd w:val="clear" w:color="auto" w:fill="F2F5FA"/>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shd w:val="clear" w:color="auto" w:fill="F2F5FA"/>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shd w:val="clear" w:color="auto" w:fill="F2F5FA"/>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vAlign w:val="center"/>
          </w:tcPr>
          <w:p>
            <w:pPr>
              <w:spacing w:after="0"/>
            </w:pPr>
            <w:r>
              <w:rPr>
                <w:rFonts w:ascii="游ゴシック" w:hAnsi="游ゴシック" w:eastAsia="游ゴシック"/>
                <w:b/>
                <w:sz w:val="18"/>
              </w:rPr>
              <w:t>代表KPIの定義が計画素案の中で新旧併存していた</w:t>
            </w:r>
          </w:p>
        </w:tc>
        <w:tc>
          <w:tcPr>
            <w:tcW w:type="dxa" w:w="2608"/>
            <w:vAlign w:val="center"/>
          </w:tcPr>
          <w:p>
            <w:pPr>
              <w:spacing w:after="0"/>
            </w:pPr>
            <w:r>
              <w:rPr>
                <w:rFonts w:ascii="游ゴシック" w:hAnsi="游ゴシック" w:eastAsia="游ゴシック"/>
                <w:b w:val="0"/>
                <w:sz w:val="18"/>
              </w:rPr>
              <w:t>第4章第3節では代理指標へ振り替えた定義（算定可）を掲げる一方、各基本目標の達成目標と資料1には当初の定義と「算定不可」が残っていた（H06・H07・H08・H12・H16）</w:t>
            </w:r>
          </w:p>
        </w:tc>
        <w:tc>
          <w:tcPr>
            <w:tcW w:type="dxa" w:w="2041"/>
            <w:vAlign w:val="center"/>
          </w:tcPr>
          <w:p>
            <w:pPr>
              <w:spacing w:after="0"/>
            </w:pPr>
            <w:r>
              <w:rPr>
                <w:rFonts w:ascii="游ゴシック" w:hAnsi="游ゴシック" w:eastAsia="游ゴシック"/>
                <w:b w:val="0"/>
                <w:sz w:val="18"/>
              </w:rPr>
              <w:t>KPIの名称・定義・算式・基準値を表ごとに書いていた</w:t>
            </w:r>
          </w:p>
        </w:tc>
        <w:tc>
          <w:tcPr>
            <w:tcW w:type="dxa" w:w="3175"/>
            <w:vAlign w:val="center"/>
          </w:tcPr>
          <w:p>
            <w:pPr>
              <w:spacing w:after="0"/>
            </w:pPr>
            <w:r>
              <w:rPr>
                <w:rFonts w:ascii="游ゴシック" w:hAnsi="游ゴシック" w:eastAsia="游ゴシック"/>
                <w:b/>
                <w:sz w:val="18"/>
              </w:rPr>
              <w:t>代表KPIの定義を1つの辞書にまとめ、第4章第3節・各基本目標の達成目標・資料1のすべてがそこから引く形に改めた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目標年度と未達幅が対応していなかった</w:t>
            </w:r>
          </w:p>
        </w:tc>
        <w:tc>
          <w:tcPr>
            <w:tcW w:type="dxa" w:w="2608"/>
            <w:shd w:val="clear" w:color="auto" w:fill="F2F5FA"/>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shd w:val="clear" w:color="auto" w:fill="F2F5FA"/>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shd w:val="clear" w:color="auto" w:fill="F2F5FA"/>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vAlign w:val="center"/>
          </w:tcPr>
          <w:p>
            <w:pPr>
              <w:spacing w:after="0"/>
            </w:pPr>
            <w:r>
              <w:rPr>
                <w:rFonts w:ascii="游ゴシック" w:hAnsi="游ゴシック" w:eastAsia="游ゴシック"/>
                <w:b/>
                <w:sz w:val="18"/>
              </w:rPr>
              <w:t>同じKPI番号に別の調査の値を基準値として置いていた</w:t>
            </w:r>
          </w:p>
        </w:tc>
        <w:tc>
          <w:tcPr>
            <w:tcW w:type="dxa" w:w="2608"/>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同じ割合に2つの分母があった</w:t>
            </w:r>
          </w:p>
        </w:tc>
        <w:tc>
          <w:tcPr>
            <w:tcW w:type="dxa" w:w="2608"/>
            <w:shd w:val="clear" w:color="auto" w:fill="F2F5FA"/>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shd w:val="clear" w:color="auto" w:fill="F2F5FA"/>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shd w:val="clear" w:color="auto" w:fill="F2F5FA"/>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vAlign w:val="center"/>
          </w:tcPr>
          <w:p>
            <w:pPr>
              <w:spacing w:after="0"/>
            </w:pPr>
            <w:r>
              <w:rPr>
                <w:rFonts w:ascii="游ゴシック" w:hAnsi="游ゴシック" w:eastAsia="游ゴシック"/>
                <w:b/>
                <w:sz w:val="18"/>
              </w:rPr>
              <w:t>時点の違う値を足した割合を確定値として書いていた</w:t>
            </w:r>
          </w:p>
        </w:tc>
        <w:tc>
          <w:tcPr>
            <w:tcW w:type="dxa" w:w="2608"/>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同じ「入所者」の語で3通りの数が現れていた</w:t>
            </w:r>
          </w:p>
        </w:tc>
        <w:tc>
          <w:tcPr>
            <w:tcW w:type="dxa" w:w="2608"/>
            <w:shd w:val="clear" w:color="auto" w:fill="F2F5FA"/>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shd w:val="clear" w:color="auto" w:fill="F2F5FA"/>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40件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1074段落158表36図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22件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