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144件（条件付き59件・送付54件・内部保管26件・対象外5件）と計画素案（1074段落158表36図）です。ビルドスクリプトは141本あり、うち52本が自らの計算を検算する自己点検を備えています（計1079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自己点検を備えたスクリプト（52本・計1079件）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build_receipt_kyufuhi_bunkakai.py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build_jigyosho_gaibu.py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build_receipt_sansho.py</w:t>
            </w:r>
          </w:p>
        </w:tc>
        <w:tc>
          <w:tcPr>
            <w:tcW w:type="dxa" w:w="907"/>
            <w:shd w:val="clear" w:color="auto" w:fill="F2F5FA"/>
            <w:vAlign w:val="center"/>
          </w:tcPr>
          <w:p>
            <w:pPr>
              <w:spacing w:after="0"/>
              <w:jc w:val="center"/>
            </w:pPr>
            <w:r>
              <w:rPr>
                <w:rFonts w:ascii="游ゴシック" w:hAnsi="游ゴシック" w:eastAsia="游ゴシック"/>
                <w:b w:val="0"/>
                <w:sz w:val="16"/>
              </w:rPr>
              <w:t>24件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build_receipt_mieru_shihyo.py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1074段落158表36図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発注者・委員会・住民の目に触れるもの。未確定箇所が282箇所（要協議162・要確認118・要内訳2）残っている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確認事項190件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現在282箇所（要協議162・要確認118・要内訳2）です。うち第6章第4節（施設の見込み）に58箇所（43％）が集中しており、日常生活圏域と必要利用定員総数（確認事項No.88）が決まれば解消します。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