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認知症になっても住み慣れた地域で安心して暮らせるまちづくり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Ver.1.0</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（アンケート結果反映前・初版）</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7年3月31日時点で高齢化率が41.4%に達し、宮城県内35市町村中5位の高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住民が住み慣れた地域で安心して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※本素案v1.0はアンケート調査結果反映前の状態です。調査結果（一般高齢者1,000名・要支援要介護認定者300名対象、令和8年6月下旬発送・7月末回収予定）の反映を経て、Ver.2.0として更新する予定です。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 xml:space="preserve">1-1　</w:t>
      </w:r>
      <w:r>
        <w:rPr>
          <w:rFonts w:ascii="游ゴシック" w:cs="游ゴシック" w:eastAsia="游ゴシック" w:hAnsi="游ゴシック"/>
          <w:b/>
          <w:bCs/>
          <w:i w:val="false"/>
          <w:iCs w:val="false"/>
          <w:color w:val="1F3864"/>
          <w:sz w:val="26"/>
          <w:szCs w:val="26"/>
        </w:rPr>
        <w:t xml:space="preserve">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7年3月31日時点で高齢化率が41.4%に達し、宮城県内でも上位水準（県内5位）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 xml:space="preserve">1-2　</w:t>
      </w:r>
      <w:r>
        <w:rPr>
          <w:rFonts w:ascii="游ゴシック" w:cs="游ゴシック" w:eastAsia="游ゴシック" w:hAnsi="游ゴシック"/>
          <w:b/>
          <w:bCs/>
          <w:i w:val="false"/>
          <w:iCs w:val="false"/>
          <w:color w:val="1F3864"/>
          <w:sz w:val="26"/>
          <w:szCs w:val="26"/>
        </w:rPr>
        <w:t xml:space="preserve">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 xml:space="preserve">1-3　</w:t>
      </w:r>
      <w:r>
        <w:rPr>
          <w:rFonts w:ascii="游ゴシック" w:cs="游ゴシック" w:eastAsia="游ゴシック" w:hAnsi="游ゴシック"/>
          <w:b/>
          <w:bCs/>
          <w:i w:val="false"/>
          <w:iCs w:val="false"/>
          <w:color w:val="1F3864"/>
          <w:sz w:val="26"/>
          <w:szCs w:val="26"/>
        </w:rPr>
        <w:t xml:space="preserve">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 xml:space="preserve">1-4　</w:t>
      </w:r>
      <w:r>
        <w:rPr>
          <w:rFonts w:ascii="游ゴシック" w:cs="游ゴシック" w:eastAsia="游ゴシック" w:hAnsi="游ゴシック"/>
          <w:b/>
          <w:bCs/>
          <w:i w:val="false"/>
          <w:iCs w:val="false"/>
          <w:color w:val="1F3864"/>
          <w:sz w:val="26"/>
          <w:szCs w:val="26"/>
        </w:rPr>
        <w:t xml:space="preserve">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策定委員会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学識経験者・医療関係者・介護関係者・地域包括・住民代表・認知症関係・公募委員等から構成される「川崎町高齢者保健福祉計画・介護保険事業計画策定委員会」を設置し、計画期間中4回（令和8年8月中旬／令和8年11月／令和9年1月／令和9年2月）の審議を経て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①②は令和8年6月下旬発送・7月末回収を予定し、結果は令和8年8月中旬の第1回策定委員会で報告します。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 xml:space="preserve">2-1　</w:t>
      </w:r>
      <w:r>
        <w:rPr>
          <w:rFonts w:ascii="游ゴシック" w:cs="游ゴシック" w:eastAsia="游ゴシック" w:hAnsi="游ゴシック"/>
          <w:b/>
          <w:bCs/>
          <w:i w:val="false"/>
          <w:iCs w:val="false"/>
          <w:color w:val="375623"/>
          <w:sz w:val="26"/>
          <w:szCs w:val="26"/>
        </w:rPr>
        <w:t xml:space="preserve">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世帯類型別の詳細（独居・夫婦のみ・同居等の人数）は、令和8年6月下旬発送の一般高齢者ニーズ調査により把握予定です。【アンケート結果反映後追記】</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 xml:space="preserve">2-2　</w:t>
      </w:r>
      <w:r>
        <w:rPr>
          <w:rFonts w:ascii="游ゴシック" w:cs="游ゴシック" w:eastAsia="游ゴシック" w:hAnsi="游ゴシック"/>
          <w:b/>
          <w:bCs/>
          <w:i w:val="false"/>
          <w:iCs w:val="false"/>
          <w:color w:val="375623"/>
          <w:sz w:val="26"/>
          <w:szCs w:val="26"/>
        </w:rPr>
        <w:t xml:space="preserve">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川崎町の高齢化率は令和7年3月31日時点で41.4%に達し、宮城県内35市町村中5位の高水準となっています。これは全国平均（約29.1%）・宮城県平均（約28.5%）を大きく上回ります。</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高齢化率41.4%は県内5位（令和7年3月31日時点）。中山間地域・人口減少地域としての特性を踏まえた施策展開が求められる。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算定にあたっては、所得段階区分の精緻化（現行9段階から13段階等への見直し）を国の指針に沿って検討します。13段階化することで、高所得層の負担割合を厚くし、低所得層の負担を軽減する効果が期待でき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 xml:space="preserve">2-3　</w:t>
      </w:r>
      <w:r>
        <w:rPr>
          <w:rFonts w:ascii="游ゴシック" w:cs="游ゴシック" w:eastAsia="游ゴシック" w:hAnsi="游ゴシック"/>
          <w:b/>
          <w:bCs/>
          <w:i w:val="false"/>
          <w:iCs w:val="false"/>
          <w:color w:val="375623"/>
          <w:sz w:val="26"/>
          <w:szCs w:val="26"/>
        </w:rPr>
        <w:t xml:space="preserve">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施設サービス受給者134人のうち、特養68人・老健66人がほぼ拮抗。介護療養型・介護医療院は0人で、第10期見込量算定では0据置で問題なし。</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 xml:space="preserve">2-4　</w:t>
      </w:r>
      <w:r>
        <w:rPr>
          <w:rFonts w:ascii="游ゴシック" w:cs="游ゴシック" w:eastAsia="游ゴシック" w:hAnsi="游ゴシック"/>
          <w:b/>
          <w:bCs/>
          <w:i w:val="false"/>
          <w:iCs w:val="false"/>
          <w:color w:val="375623"/>
          <w:sz w:val="26"/>
          <w:szCs w:val="26"/>
        </w:rPr>
        <w:t xml:space="preserve">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 xml:space="preserve">2-5　</w:t>
      </w:r>
      <w:r>
        <w:rPr>
          <w:rFonts w:ascii="游ゴシック" w:cs="游ゴシック" w:eastAsia="游ゴシック" w:hAnsi="游ゴシック"/>
          <w:b/>
          <w:bCs/>
          <w:i w:val="false"/>
          <w:iCs w:val="false"/>
          <w:color w:val="375623"/>
          <w:sz w:val="26"/>
          <w:szCs w:val="26"/>
        </w:rPr>
        <w:t xml:space="preserve">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累計550名のサポーターと73名のキャラバンメイトを育成しています。第10期では、認知症基本法対応のチームオレンジ整備・本人ミーティング等の取組強化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 xml:space="preserve">3-1　</w:t>
      </w:r>
      <w:r>
        <w:rPr>
          <w:rFonts w:ascii="游ゴシック" w:cs="游ゴシック" w:eastAsia="游ゴシック" w:hAnsi="游ゴシック"/>
          <w:b/>
          <w:bCs/>
          <w:i w:val="false"/>
          <w:iCs w:val="false"/>
          <w:color w:val="2E75B6"/>
          <w:sz w:val="26"/>
          <w:szCs w:val="26"/>
        </w:rPr>
        <w:t xml:space="preserve">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基本目標のもとに体系化されました。第10期計画は、この体系を基本的に継承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策定業者は福祉工房であり、第9期策定では地域住民意見の反映（パブリックコメント）は実施されておらず、策定委員会での審議をもって意見集約に代える運用がと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地域包括ケアシステムの深化と高齢者の地域生活継続を重視し、健康づくり・介護予防・在宅生活支援・地域連携を柱とする体系で策定されました。第10期計画ではこの体系を基本的に継承するとともに、認知症基本法対応（独立章化）、移動支援の再構築、施設偏在への対応など、新たな課題を追加して体系化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第9期計画の基本理念・基本目標の具体的記述は、第9期計画書本編からの抜粋・要約として令和8年6月中に追記します。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第9期計画の体系（推定）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（キックオフでの「9期計画を踏襲する形」との方針確認、及び従来の高齢者保健福祉計画における標準的体系から）</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・基本理念：住民が住み慣れた地域で安心して暮らせるまちづくり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・基本目標1：健康づくりと介護予防の推進</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・基本目標2：高齢者が安心して暮らせる仕組みづくり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・基本目標3：在宅生活の継続支援</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・基本目標4：介護サービスの質の確保と提供体制</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・基本目標5：地域包括ケアシステムの深化</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 xml:space="preserve">3-2　</w:t>
      </w:r>
      <w:r>
        <w:rPr>
          <w:rFonts w:ascii="游ゴシック" w:cs="游ゴシック" w:eastAsia="游ゴシック" w:hAnsi="游ゴシック"/>
          <w:b/>
          <w:bCs/>
          <w:i w:val="false"/>
          <w:iCs w:val="false"/>
          <w:color w:val="2E75B6"/>
          <w:sz w:val="26"/>
          <w:szCs w:val="26"/>
        </w:rPr>
        <w:t xml:space="preserve">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6つの基本目標の体系に沿って整理します。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第9期取組実績の確定値は、別添『川崎町_第9期実績一覧_町記入用.xlsx』との連動で管理する。本素案v1.3では事業項目と既知数値を提示する。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新規整備、（2）認知症本人ミーティングの新規実施、（3）本人・家族の意見聴取（地域包括センター・国保川崎病院経由）、（4）KPIの3層構造化（プロセス・アウトプット・アウトカム）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 xml:space="preserve">3-3　</w:t>
      </w:r>
      <w:r>
        <w:rPr>
          <w:rFonts w:ascii="游ゴシック" w:cs="游ゴシック" w:eastAsia="游ゴシック" w:hAnsi="游ゴシック"/>
          <w:b/>
          <w:bCs/>
          <w:i w:val="false"/>
          <w:iCs w:val="false"/>
          <w:color w:val="2E75B6"/>
          <w:sz w:val="26"/>
          <w:szCs w:val="26"/>
        </w:rPr>
        <w:t xml:space="preserve">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第9期計画で設定された評価指標（KPI）の達成状況は、町担当課での集計を経て第1回策定委員会（令和8年8月中旬）で報告し、本素案Ver.2.0に反映します。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 xml:space="preserve">3-4　</w:t>
      </w:r>
      <w:r>
        <w:rPr>
          <w:rFonts w:ascii="游ゴシック" w:cs="游ゴシック" w:eastAsia="游ゴシック" w:hAnsi="游ゴシック"/>
          <w:b/>
          <w:bCs/>
          <w:i w:val="false"/>
          <w:iCs w:val="false"/>
          <w:color w:val="2E75B6"/>
          <w:sz w:val="26"/>
          <w:szCs w:val="26"/>
        </w:rPr>
        <w:t xml:space="preserve">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キックオフ会議における自治体課題の確認及び実績データ分析の結果、第10期計画では以下の課題への対応が重要となります。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 xml:space="preserve">4-1　</w:t>
      </w:r>
      <w:r>
        <w:rPr>
          <w:rFonts w:ascii="游ゴシック" w:cs="游ゴシック" w:eastAsia="游ゴシック" w:hAnsi="游ゴシック"/>
          <w:b/>
          <w:bCs/>
          <w:i w:val="false"/>
          <w:iCs w:val="false"/>
          <w:color w:val="C55A11"/>
          <w:sz w:val="26"/>
          <w:szCs w:val="26"/>
        </w:rPr>
        <w:t xml:space="preserve">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住民が住み慣れた地域で安心して暮らせるまちづくり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基本理念の本文・サブタイトル案は、第1回策定委員会（令和8年8月中旬）でご審議いただき、確定します。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 xml:space="preserve">4-2　</w:t>
      </w:r>
      <w:r>
        <w:rPr>
          <w:rFonts w:ascii="游ゴシック" w:cs="游ゴシック" w:eastAsia="游ゴシック" w:hAnsi="游ゴシック"/>
          <w:b/>
          <w:bCs/>
          <w:i w:val="false"/>
          <w:iCs w:val="false"/>
          <w:color w:val="C55A11"/>
          <w:sz w:val="26"/>
          <w:szCs w:val="26"/>
        </w:rPr>
        <w:t xml:space="preserve">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第9期計画の基本目標体系を継承し、第10期では認知症基本法対応として基本目標6を新設します。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 xml:space="preserve">4-3　</w:t>
      </w:r>
      <w:r>
        <w:rPr>
          <w:rFonts w:ascii="游ゴシック" w:cs="游ゴシック" w:eastAsia="游ゴシック" w:hAnsi="游ゴシック"/>
          <w:b/>
          <w:bCs/>
          <w:i w:val="false"/>
          <w:iCs w:val="false"/>
          <w:color w:val="C55A11"/>
          <w:sz w:val="26"/>
          <w:szCs w:val="26"/>
        </w:rPr>
        <w:t xml:space="preserve">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 xml:space="preserve">4-4　</w:t>
      </w:r>
      <w:r>
        <w:rPr>
          <w:rFonts w:ascii="游ゴシック" w:cs="游ゴシック" w:eastAsia="游ゴシック" w:hAnsi="游ゴシック"/>
          <w:b/>
          <w:bCs/>
          <w:i w:val="false"/>
          <w:iCs w:val="false"/>
          <w:color w:val="C55A11"/>
          <w:sz w:val="26"/>
          <w:szCs w:val="26"/>
        </w:rPr>
        <w:t xml:space="preserve">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【基本理念】住民が住み慣れた地域で安心して暮らせるまちづくり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一般高齢者ニーズ調査・要支援要介護認定者調査）は、令和8年7月末の回収・8月の集計後にVer.2.0へ反映します。本素案v1.0では実績データ・キックオフ確認事項・第9期計画継承の方針から施策方向を提示します。</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 xml:space="preserve">5-1　</w:t>
      </w:r>
      <w:r>
        <w:rPr>
          <w:rFonts w:ascii="游ゴシック" w:cs="游ゴシック" w:eastAsia="游ゴシック" w:hAnsi="游ゴシック"/>
          <w:b/>
          <w:bCs/>
          <w:i w:val="false"/>
          <w:iCs w:val="false"/>
          <w:color w:val="7030A0"/>
          <w:sz w:val="26"/>
          <w:szCs w:val="26"/>
        </w:rPr>
        <w:t xml:space="preserve">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 xml:space="preserve">5-2　</w:t>
      </w:r>
      <w:r>
        <w:rPr>
          <w:rFonts w:ascii="游ゴシック" w:cs="游ゴシック" w:eastAsia="游ゴシック" w:hAnsi="游ゴシック"/>
          <w:b/>
          <w:bCs/>
          <w:i w:val="false"/>
          <w:iCs w:val="false"/>
          <w:color w:val="7030A0"/>
          <w:sz w:val="26"/>
          <w:szCs w:val="26"/>
        </w:rPr>
        <w:t xml:space="preserve">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 xml:space="preserve">5-3　</w:t>
      </w:r>
      <w:r>
        <w:rPr>
          <w:rFonts w:ascii="游ゴシック" w:cs="游ゴシック" w:eastAsia="游ゴシック" w:hAnsi="游ゴシック"/>
          <w:b/>
          <w:bCs/>
          <w:i w:val="false"/>
          <w:iCs w:val="false"/>
          <w:color w:val="7030A0"/>
          <w:sz w:val="26"/>
          <w:szCs w:val="26"/>
        </w:rPr>
        <w:t xml:space="preserve">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支援については、独居高齢者・高齢者世帯・老老介護世帯の増加、未婚の子と高齢親が同居する8050世帯の課題を踏まえ、家族介護教室・介護相談・レスパイト（短期入所）活用支援を充実させます。特に、家族介護による介護離職を防ぐため、町内事業所との連携による両立支援・相談体制の整備を新規取組として位置付け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 xml:space="preserve">5-4　</w:t>
      </w:r>
      <w:r>
        <w:rPr>
          <w:rFonts w:ascii="游ゴシック" w:cs="游ゴシック" w:eastAsia="游ゴシック" w:hAnsi="游ゴシック"/>
          <w:b/>
          <w:bCs/>
          <w:i w:val="false"/>
          <w:iCs w:val="false"/>
          <w:color w:val="7030A0"/>
          <w:sz w:val="26"/>
          <w:szCs w:val="26"/>
        </w:rPr>
        <w:t xml:space="preserve">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確保については、全国的・全県的に深刻化する課題であり、本町独自の対応には限界があります。宮城県社会福祉協議会の介護福祉士等修学資金貸付制度等の県事業を積極的に周知し、町内事業所と連携した職場体験・人材定着支援に取り組みます。あわせて、ICT・介護ロボット・センサー等の導入支援により、限られた人材で質の高いサービスを提供できる体制を後押し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 xml:space="preserve">5-5　</w:t>
      </w:r>
      <w:r>
        <w:rPr>
          <w:rFonts w:ascii="游ゴシック" w:cs="游ゴシック" w:eastAsia="游ゴシック" w:hAnsi="游ゴシック"/>
          <w:b/>
          <w:bCs/>
          <w:i w:val="false"/>
          <w:iCs w:val="false"/>
          <w:color w:val="7030A0"/>
          <w:sz w:val="26"/>
          <w:szCs w:val="26"/>
        </w:rPr>
        <w:t xml:space="preserve">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各施策のKPI設定は、令和8年7月末のアンケート回収後にVer.2.0で確定します。本素案v1.0では指標項目のみを示します。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6-1　</w:t>
      </w:r>
      <w:r>
        <w:rPr>
          <w:rFonts w:ascii="游ゴシック" w:cs="游ゴシック" w:eastAsia="游ゴシック" w:hAnsi="游ゴシック"/>
          <w:b/>
          <w:bCs/>
          <w:i w:val="false"/>
          <w:iCs w:val="false"/>
          <w:color w:val="9333B0"/>
          <w:sz w:val="26"/>
          <w:szCs w:val="26"/>
        </w:rPr>
        <w:t xml:space="preserve">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6-2　</w:t>
      </w:r>
      <w:r>
        <w:rPr>
          <w:rFonts w:ascii="游ゴシック" w:cs="游ゴシック" w:eastAsia="游ゴシック" w:hAnsi="游ゴシック"/>
          <w:b/>
          <w:bCs/>
          <w:i w:val="false"/>
          <w:iCs w:val="false"/>
          <w:color w:val="9333B0"/>
          <w:sz w:val="26"/>
          <w:szCs w:val="26"/>
        </w:rPr>
        <w:t xml:space="preserve">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6-3　</w:t>
      </w:r>
      <w:r>
        <w:rPr>
          <w:rFonts w:ascii="游ゴシック" w:cs="游ゴシック" w:eastAsia="游ゴシック" w:hAnsi="游ゴシック"/>
          <w:b/>
          <w:bCs/>
          <w:i w:val="false"/>
          <w:iCs w:val="false"/>
          <w:color w:val="9333B0"/>
          <w:sz w:val="26"/>
          <w:szCs w:val="26"/>
        </w:rPr>
        <w:t xml:space="preserve">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累計550名・キャラバンメイト73名・認知症カフェ「喫茶みかん」の運営実績・初期集中支援チームの稼働等、本町がこれまで積み上げてきた基盤を活かしつつ、未整備のチームオレンジ・本人ミーティングを新規整備として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7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枠組みを示します。具体的な数値は、町からの提供データ・アンケート結果・国通知（夏以降）・介護給付費準備基金残高（令和8年6月確定）を踏まえ、第3回策定委員会（令和9年1月中旬）で協議のうえ第4回（令和9年2月）で確定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7-1　</w:t>
      </w:r>
      <w:r>
        <w:rPr>
          <w:rFonts w:ascii="游ゴシック" w:cs="游ゴシック" w:eastAsia="游ゴシック" w:hAnsi="游ゴシック"/>
          <w:b/>
          <w:bCs/>
          <w:i w:val="false"/>
          <w:iCs w:val="false"/>
          <w:color w:val="0F4F73"/>
          <w:sz w:val="26"/>
          <w:szCs w:val="26"/>
        </w:rPr>
        <w:t xml:space="preserve">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第10期計画期間中（令和9〜11年度）の年度別・サービス種類別見込量は、上記6ステップを経て下表のとおり算定します。本素案v1.0では枠のみ提示し、Ver.2.0で確定値を記載します。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7-2　</w:t>
      </w:r>
      <w:r>
        <w:rPr>
          <w:rFonts w:ascii="游ゴシック" w:cs="游ゴシック" w:eastAsia="游ゴシック" w:hAnsi="游ゴシック"/>
          <w:b/>
          <w:bCs/>
          <w:i w:val="false"/>
          <w:iCs w:val="false"/>
          <w:color w:val="0F4F73"/>
          <w:sz w:val="26"/>
          <w:szCs w:val="26"/>
        </w:rPr>
        <w:t xml:space="preserve">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給付費見込み（試算枠）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【3年累計】</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出典：R3実績：年報データ2021／R9-R11試算：Ver.2.0で確定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4年で+10.9%）と認知症基本法対応に伴う認知症施策の拡充により、給付費の上方圧力が見込まれます。一方で、ユニバーサルサポーター制度を活用した介護予防の強化、要介護認定率の適正化等により、給付費伸び率の抑制を図ります。第9期実績（給付費伸び率）を踏まえた中位推計を基本とし、上限・下限の幅を持った試算をVer.2.0で提示しま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7-3　</w:t>
      </w:r>
      <w:r>
        <w:rPr>
          <w:rFonts w:ascii="游ゴシック" w:cs="游ゴシック" w:eastAsia="游ゴシック" w:hAnsi="游ゴシック"/>
          <w:b/>
          <w:bCs/>
          <w:i w:val="false"/>
          <w:iCs w:val="false"/>
          <w:color w:val="0F4F73"/>
          <w:sz w:val="26"/>
          <w:szCs w:val="26"/>
        </w:rPr>
        <w:t xml:space="preserve">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MECE版データ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【3パターン試算】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w:t>
            </w:r>
          </w:p>
        </w:tc>
      </w:tr>
    </w:tbl>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図7-1　介護保険料月額基準額の推移と第10期試算3パターン（試算は仮置き）</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保険料月額基準額6,380円から第9期6,500円への上昇は+1.9%（120円増）に留まっており、川崎町の保険料は近隣自治体と比較しても抑制的な水準で運営されてきました。これは、介護給付費準備基金の取崩しや、第1号被保険者数の安定推移、町独自の介護予防事業（ユニバーサルサポーター制度等）による要介護認定率の抑制等が寄与していると考えら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急増（75歳以上が4年で+10.9%）に伴う認定者・給付費増、認知症基本法対応に伴う認知症施策の拡充、地域支援事業の充実等により、給付費の上方圧力が見込まれます。一方で、所得段階区分の見直し（13段階化）、介護給付費準備基金の取崩、収納率の維持（96.3%水準）等により、保険料水準の抑制が可能となります。最終的な保険料基準額は、第3回策定委員会（令和9年1月中旬）での協議を経て第4回（令和9年2月）で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第1号被保険者負担割合23%（第10期）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後期高齢者割合・所得段階別人口で交付率算定（R3実績 約5,912万円・約6.1%）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保険料抑制のため取崩額を設定。R8.6に確定の基金残高を踏まえ3パターン設定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収納必要額 ÷ 予定収納率 ÷ 加重平均調整率 ÷ 第1号被保険者数 で月額基準額決定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収納必要額 ÷ 予定収納率 ÷ 加重平均調整率 ÷ 第1号被保険者数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ここで、「収納必要額」は3年間の合計値です。「加重平均調整率」は所得段階区分別の保険料率を加重平均した値で、現行9段階の場合は約1.00となります。「予定収納率」は次節で詳述します。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介護給付費準備基金は、第9期計画期間中の介護給付費が見込みを下回った際の剰余金を積立てた基金で、保険料抑制のために第10期で取崩しを検討します。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R8年6月時点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【町確認・R8.6確定値】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【R8.3積立増減を踏まえ予測】</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A：取崩なし／B：50%取崩／C：全額取崩</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月額イメージ</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【試算】最高水準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【試算】中位水準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【試算】最低水準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所得段階区分の検討（9段階 → 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国の介護保険制度改正により、所得段階区分について現行9段階から13段階への見直しが推奨されています。13段階化は、所得の高い層に応分の負担を求め、低所得層の負担を軽減する効果が期待されます。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現行9段階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第10期検討（13段階）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13段階（推奨）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0.50（第1段階）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0.455〜（軽減強化）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1.70（第9段階・320万円以上）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2.40（第13段階・720万円以上）</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非課税層979人（30.1%）の負担</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非課税層の負担軽減＋高所得層への応分負担</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化により、川崎町では非課税層979人（第1〜3段階・30.1%）の保険料負担軽減が期待される一方、第8段階以上の173+106＝279人（8.6%）への負担増となります。具体的な段階別保険料率と影響額は、第3回策定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予定収納率は、過去5年間の保険料収納率の平均値を採用します。川崎町の収納率は高水準で推移しており、第10期の予定収納率は98%以上を見込みます。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過去5年平均（見込み）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100.0%（安定）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【町確認・経年推移把握必要】</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【町確認・第10期予定収納率の根拠】</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出典：R3実績：年報データ2021・様式3／過去5年平均：町確認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は宮城県内35市町村中5位の高齢化率（41.4%）にもかかわらず、第9期保険料6,500円は宮城県平均水準で運営されていることが確認で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MECE版データ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仙南圏域近隣（柴田町・大河原町・村田町等）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【見える化システム要確認】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【県集計値要確認】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厚労省 第9期保険料状況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仙南圏域・宮城県の比較値は、見える化システム及び宮城県提供データの取得後にVer.2.0で確定します。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13段階区分の所得段階別保険料（試算枠）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13段階区分への移行に伴う所得段階別保険料（月額・年額）の試算枠を以下に示します。確定値は第3回策定委員会で協議します。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保険料率</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月額(試算)</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人数(R3)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生活保護・世帯非課税(年金80万以下)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【基準額】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本人課税(320〜420万未満)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106人(現9段階)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本人課税(420〜520万未満)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本人課税(520〜620万未満)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本人課税(620〜720万未満)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本人課税(720万以上)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出典：保険料率は国の標準率（参考値）。第10段階以降の人数は町からの提供データで確認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令和8年6月：介護給付費準備基金残高の確定（町担当課）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令和8年8月：第1回策定委員会でアンケート結果報告、給付費試算前提の協議</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令和8年11月：第2回策定委員会でサービス見込量・標準給付費の方向性確定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令和8年12月〜令和9年1月：保険料試算3パターンの精緻化（コンサル＋町担当）</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令和9年1月中旬：第3回策定委員会で保険料試算3パターンを協議</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令和9年2月：第4回策定委員会で保険料基準額を決定、町長答申</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介護給付費準備基金残高（令和8年6月確定）、サービス見込量、国通知（夏以降）、アンケート結果を踏まえ、Ver.2.0で確定します。確定値の信頼性確保のため、宮城県・近隣町との比較・見える化システム登録を経て、第3回・第4回策定委員会で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8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8-1　</w:t>
      </w:r>
      <w:r>
        <w:rPr>
          <w:rFonts w:ascii="游ゴシック" w:cs="游ゴシック" w:eastAsia="游ゴシック" w:hAnsi="游ゴシック"/>
          <w:b/>
          <w:bCs/>
          <w:i w:val="false"/>
          <w:iCs w:val="false"/>
          <w:color w:val="404040"/>
          <w:sz w:val="26"/>
          <w:szCs w:val="26"/>
        </w:rPr>
        <w:t xml:space="preserve">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8-2　</w:t>
      </w:r>
      <w:r>
        <w:rPr>
          <w:rFonts w:ascii="游ゴシック" w:cs="游ゴシック" w:eastAsia="游ゴシック" w:hAnsi="游ゴシック"/>
          <w:b/>
          <w:bCs/>
          <w:i w:val="false"/>
          <w:iCs w:val="false"/>
          <w:color w:val="404040"/>
          <w:sz w:val="26"/>
          <w:szCs w:val="26"/>
        </w:rPr>
        <w:t xml:space="preserve">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8-3　</w:t>
      </w:r>
      <w:r>
        <w:rPr>
          <w:rFonts w:ascii="游ゴシック" w:cs="游ゴシック" w:eastAsia="游ゴシック" w:hAnsi="游ゴシック"/>
          <w:b/>
          <w:bCs/>
          <w:i w:val="false"/>
          <w:iCs w:val="false"/>
          <w:color w:val="404040"/>
          <w:sz w:val="26"/>
          <w:szCs w:val="26"/>
        </w:rPr>
        <w:t xml:space="preserve">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中間評価：計画期間の中間年（R10年度）に、策定委員会または同等の組織で中間評価</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Ver.1.0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本素案v1.0は、令和8年7月末のアンケート回収・8月の集計分析・国通知（夏以降）の確認を経て、Ver.2.0として更新します。Ver.2.0は令和8年11月の第2回策定委員会で素案として審議いただく予定です。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undefined"/><Relationship Id="rId10" Type="http://schemas.openxmlformats.org/officeDocument/2006/relationships/image" Target="media/3d908537ad6af085f924a88cd75159a469dfe3ae.undefined"/><Relationship Id="rId11" Type="http://schemas.openxmlformats.org/officeDocument/2006/relationships/image" Target="media/734ec60ebb12cf6936fb50f9ddeb2807bb5834b7.undefined"/><Relationship Id="rId12" Type="http://schemas.openxmlformats.org/officeDocument/2006/relationships/image" Target="media/5a962bfacd77afd36ebbbec2150668990cd47f90.undefined"/><Relationship Id="rId13" Type="http://schemas.openxmlformats.org/officeDocument/2006/relationships/image" Target="media/4f6b614b6ec81cf85ded5f1273a7644440d52e3e.undefined"/><Relationship Id="rId14" Type="http://schemas.openxmlformats.org/officeDocument/2006/relationships/image" Target="media/60135321dc38607023c12bbad6e739ab163ab04a.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