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游ゴシック" w:cs="游ゴシック" w:eastAsia="游ゴシック" w:hAnsi="游ゴシック"/>
          <w:b/>
          <w:bCs/>
          <w:i w:val="false"/>
          <w:iCs w:val="false"/>
          <w:color w:val="1F3864"/>
          <w:sz w:val="28"/>
          <w:szCs w:val="28"/>
        </w:rPr>
        <w:t xml:space="preserve">川崎町高齢者保健福祉計画</w:t>
      </w:r>
    </w:p>
    <w:p>
      <w:pPr>
        <w:spacing w:after="240" w:before="0"/>
        <w:jc w:val="center"/>
      </w:pPr>
      <w:r>
        <w:rPr>
          <w:rFonts w:ascii="游ゴシック" w:cs="游ゴシック" w:eastAsia="游ゴシック" w:hAnsi="游ゴシック"/>
          <w:b/>
          <w:bCs/>
          <w:i w:val="false"/>
          <w:iCs w:val="false"/>
          <w:color w:val="1F3864"/>
          <w:sz w:val="28"/>
          <w:szCs w:val="28"/>
        </w:rPr>
        <w:t xml:space="preserve">第10期介護保険事業計画</w:t>
      </w:r>
    </w:p>
    <w:p>
      <w:pPr>
        <w:spacing w:after="480" w:before="0"/>
        <w:jc w:val="center"/>
      </w:pPr>
      <w:r>
        <w:rPr>
          <w:rFonts w:ascii="游ゴシック" w:cs="游ゴシック" w:eastAsia="游ゴシック" w:hAnsi="游ゴシック"/>
          <w:b/>
          <w:bCs/>
          <w:i w:val="false"/>
          <w:iCs w:val="false"/>
          <w:color w:val="9333B0"/>
          <w:sz w:val="28"/>
          <w:szCs w:val="28"/>
        </w:rPr>
        <w:t xml:space="preserve">認知症施策推進計画</w:t>
      </w:r>
    </w:p>
    <w:p>
      <w:pPr>
        <w:pBdr>
          <w:top w:val="double" w:color="1F3864" w:sz="24"/>
          <w:bottom w:val="double" w:color="1F3864" w:sz="24"/>
        </w:pBdr>
        <w:shd w:fill="DAE3F3" w:val="solid"/>
        <w:spacing w:after="360" w:before="360"/>
        <w:jc w:val="center"/>
      </w:pPr>
      <w:r>
        <w:rPr>
          <w:rFonts w:ascii="游ゴシック" w:cs="游ゴシック" w:eastAsia="游ゴシック" w:hAnsi="游ゴシック"/>
          <w:b/>
          <w:bCs/>
          <w:i w:val="false"/>
          <w:iCs w:val="false"/>
          <w:color w:val="1F3864"/>
          <w:sz w:val="44"/>
          <w:szCs w:val="44"/>
        </w:rPr>
        <w:t xml:space="preserve">計　画　概　要　版</w:t>
      </w:r>
    </w:p>
    <w:p>
      <w:pPr>
        <w:spacing w:after="240" w:before="240"/>
        <w:jc w:val="center"/>
      </w:pPr>
      <w:r>
        <w:rPr>
          <w:rFonts w:ascii="游ゴシック" w:cs="游ゴシック" w:eastAsia="游ゴシック" w:hAnsi="游ゴシック"/>
          <w:b w:val="false"/>
          <w:bCs w:val="false"/>
          <w:i/>
          <w:iCs/>
          <w:color w:val="2F5597"/>
          <w:sz w:val="22"/>
          <w:szCs w:val="22"/>
        </w:rPr>
        <w:t xml:space="preserve">〜 第1回策定委員会 事前配布資料 〜</w:t>
      </w:r>
    </w:p>
    <w:p>
      <w:pPr>
        <w:spacing w:after="200" w:before="200"/>
        <w:jc w:val="center"/>
      </w:pPr>
      <w:r>
        <w:rPr>
          <w:rFonts w:ascii="游ゴシック" w:cs="游ゴシック" w:eastAsia="游ゴシック" w:hAnsi="游ゴシック"/>
          <w:b/>
          <w:bCs/>
          <w:i w:val="false"/>
          <w:iCs w:val="false"/>
          <w:color w:val="000000"/>
          <w:sz w:val="22"/>
          <w:szCs w:val="22"/>
        </w:rPr>
        <w:t xml:space="preserve">計画期間：令和9年度〜令和11年度（3年間）</w:t>
      </w:r>
    </w:p>
    <w:p>
      <w:pPr>
        <w:spacing w:after="80" w:before="2400"/>
        <w:jc w:val="center"/>
      </w:pPr>
      <w:r>
        <w:rPr>
          <w:rFonts w:ascii="游ゴシック" w:cs="游ゴシック" w:eastAsia="游ゴシック" w:hAnsi="游ゴシック"/>
          <w:b w:val="false"/>
          <w:bCs w:val="false"/>
          <w:i w:val="false"/>
          <w:iCs w:val="false"/>
          <w:color w:val="595959"/>
          <w:sz w:val="22"/>
          <w:szCs w:val="22"/>
        </w:rPr>
        <w:t xml:space="preserve">令和8年6月</w:t>
      </w:r>
    </w:p>
    <w:p>
      <w:pPr>
        <w:spacing w:after="80" w:before="80"/>
        <w:jc w:val="center"/>
      </w:pPr>
      <w:r>
        <w:rPr>
          <w:rFonts w:ascii="游ゴシック" w:cs="游ゴシック" w:eastAsia="游ゴシック" w:hAnsi="游ゴシック"/>
          <w:b/>
          <w:bCs/>
          <w:i w:val="false"/>
          <w:iCs w:val="false"/>
          <w:color w:val="1F3864"/>
          <w:sz w:val="24"/>
          <w:szCs w:val="24"/>
        </w:rPr>
        <w:t xml:space="preserve">川崎町</w:t>
      </w:r>
    </w:p>
    <w:p>
      <w:pPr>
        <w:spacing w:after="80" w:before="80"/>
        <w:jc w:val="center"/>
      </w:pPr>
      <w:r>
        <w:rPr>
          <w:rFonts w:ascii="游ゴシック" w:cs="游ゴシック" w:eastAsia="游ゴシック" w:hAnsi="游ゴシック"/>
          <w:b w:val="false"/>
          <w:bCs w:val="false"/>
          <w:i/>
          <w:iCs/>
          <w:color w:val="595959"/>
          <w:sz w:val="16"/>
          <w:szCs w:val="16"/>
        </w:rPr>
        <w:t xml:space="preserve">（事務局：ビズアップ公共コンサルティング株式会社）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本概要版について／目次</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本概要版の位置付け</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概要版は、第1回策定委員会（令和8年8月中旬予定）の事前配布資料として、計画素案v1.5（全43頁）の要点を委員の皆様が短時間で把握できるよう約18頁に要約したものです。各章の要点と川崎町固有の論点を凝縮しています。詳細は別添『計画素案v1.5（全43頁）』をご参照ください。</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目次</w:t>
      </w:r>
    </w:p>
    <w:tbl>
      <w:tblPr>
        <w:tblW w:type="pct" w:w="9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2"/>
                <w:szCs w:val="22"/>
              </w:rPr>
              <w:t xml:space="preserve">第1章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2"/>
                <w:szCs w:val="22"/>
              </w:rPr>
              <w:t xml:space="preserve">計画の策定にあたって</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2"/>
                <w:szCs w:val="22"/>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375623"/>
                <w:sz w:val="22"/>
                <w:szCs w:val="22"/>
              </w:rPr>
              <w:t xml:space="preserve">第2章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375623"/>
                <w:sz w:val="22"/>
                <w:szCs w:val="22"/>
              </w:rPr>
              <w:t xml:space="preserve">川崎町の高齢者を取り巻く現状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375623"/>
                <w:sz w:val="22"/>
                <w:szCs w:val="22"/>
              </w:rPr>
              <w:t xml:space="preserve">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2E75B6"/>
                <w:sz w:val="22"/>
                <w:szCs w:val="22"/>
              </w:rPr>
              <w:t xml:space="preserve">第3章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2E75B6"/>
                <w:sz w:val="22"/>
                <w:szCs w:val="22"/>
              </w:rPr>
              <w:t xml:space="preserve">第9期計画の取組実績と評価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2E75B6"/>
                <w:sz w:val="22"/>
                <w:szCs w:val="22"/>
              </w:rPr>
              <w:t xml:space="preserve">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55A11"/>
                <w:sz w:val="22"/>
                <w:szCs w:val="22"/>
              </w:rPr>
              <w:t xml:space="preserve">第4章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22"/>
                <w:szCs w:val="22"/>
              </w:rPr>
              <w:t xml:space="preserve">計画の基本理念と基本目標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C55A11"/>
                <w:sz w:val="22"/>
                <w:szCs w:val="22"/>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7030A0"/>
                <w:sz w:val="22"/>
                <w:szCs w:val="22"/>
              </w:rPr>
              <w:t xml:space="preserve">第5章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7030A0"/>
                <w:sz w:val="22"/>
                <w:szCs w:val="22"/>
              </w:rPr>
              <w:t xml:space="preserve">施策の展開</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7030A0"/>
                <w:sz w:val="22"/>
                <w:szCs w:val="22"/>
              </w:rPr>
              <w:t xml:space="preserve">11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22"/>
                <w:szCs w:val="22"/>
              </w:rPr>
              <w:t xml:space="preserve">第6章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22"/>
                <w:szCs w:val="22"/>
              </w:rPr>
              <w:t xml:space="preserve">認知症施策推進計画（独立章）</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9333B0"/>
                <w:sz w:val="22"/>
                <w:szCs w:val="22"/>
              </w:rPr>
              <w:t xml:space="preserve">14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F4F73"/>
                <w:sz w:val="22"/>
                <w:szCs w:val="22"/>
              </w:rPr>
              <w:t xml:space="preserve">第7章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F4F73"/>
                <w:sz w:val="22"/>
                <w:szCs w:val="22"/>
              </w:rPr>
              <w:t xml:space="preserve">介護保険サービス見込量と保険料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F4F73"/>
                <w:sz w:val="22"/>
                <w:szCs w:val="22"/>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404040"/>
                <w:sz w:val="22"/>
                <w:szCs w:val="22"/>
              </w:rPr>
              <w:t xml:space="preserve">第8章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404040"/>
                <w:sz w:val="22"/>
                <w:szCs w:val="22"/>
              </w:rPr>
              <w:t xml:space="preserve">計画の推進体制と評価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404040"/>
                <w:sz w:val="22"/>
                <w:szCs w:val="22"/>
              </w:rPr>
              <w:t xml:space="preserve">18</w:t>
            </w:r>
          </w:p>
        </w:tc>
      </w:tr>
    </w:tbl>
    <w:p>
      <w:pPr>
        <w:pBdr>
          <w:bottom w:val="single" w:color="ED7D31" w:sz="4"/>
        </w:pBdr>
        <w:shd w:fill="FCE4D6" w:val="solid"/>
        <w:spacing w:after="100" w:before="200" w:line="300"/>
      </w:pPr>
      <w:r>
        <w:rPr>
          <w:rFonts w:ascii="游ゴシック" w:cs="游ゴシック" w:eastAsia="游ゴシック" w:hAnsi="游ゴシック"/>
          <w:b/>
          <w:bCs/>
          <w:i w:val="false"/>
          <w:iCs w:val="false"/>
          <w:color w:val="ED7D31"/>
          <w:sz w:val="22"/>
          <w:szCs w:val="22"/>
        </w:rPr>
        <w:t xml:space="preserve">　▌ 本計画の3つの基本方針</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3層整合の原則：国基本指針・宮城県高齢者保健福祉計画と整合を取りながら策定</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課題接続型：アンケートで把握された住民ニーズと、施策・KPIを論理的に接続</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認知症基本法対応：認知症基本法を踏まえ、認知症施策を独立章として位置付け</w:t>
      </w:r>
    </w:p>
    <w:p>
      <w:pPr>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8"/>
          <w:szCs w:val="28"/>
        </w:rPr>
        <w:t xml:space="preserve">第1章　</w:t>
      </w:r>
      <w:r>
        <w:rPr>
          <w:rFonts w:ascii="游ゴシック" w:cs="游ゴシック" w:eastAsia="游ゴシック" w:hAnsi="游ゴシック"/>
          <w:b/>
          <w:bCs/>
          <w:i w:val="false"/>
          <w:iCs w:val="false"/>
          <w:color w:val="1F3864"/>
          <w:sz w:val="28"/>
          <w:szCs w:val="28"/>
        </w:rPr>
        <w:t xml:space="preserve">計画の策定にあたって</w:t>
      </w:r>
    </w:p>
    <w:p>
      <w:pPr>
        <w:pBdr>
          <w:top w:val="single" w:color="1F3864" w:sz="12"/>
        </w:pBdr>
        <w:shd w:fill="DAE3F3" w:val="solid"/>
        <w:spacing w:after="0" w:before="200"/>
      </w:pPr>
      <w:r>
        <w:rPr>
          <w:rFonts w:ascii="游ゴシック" w:cs="游ゴシック" w:eastAsia="游ゴシック" w:hAnsi="游ゴシック"/>
          <w:b/>
          <w:bCs/>
          <w:i w:val="false"/>
          <w:iCs w:val="false"/>
          <w:color w:val="1F3864"/>
          <w:sz w:val="22"/>
          <w:szCs w:val="22"/>
        </w:rPr>
        <w:t xml:space="preserve">◆ 計画の目的</w:t>
      </w:r>
    </w:p>
    <w:p>
      <w:pPr>
        <w:pBdr>
          <w:bottom w:val="single" w:color="1F3864" w:sz="4"/>
        </w:pBdr>
        <w:shd w:fill="FAFAFA" w:val="solid"/>
        <w:spacing w:after="200" w:before="0"/>
      </w:pPr>
      <w:r>
        <w:rPr>
          <w:rFonts w:ascii="游ゴシック" w:cs="游ゴシック" w:eastAsia="游ゴシック" w:hAnsi="游ゴシック"/>
          <w:b w:val="false"/>
          <w:bCs w:val="false"/>
          <w:i w:val="false"/>
          <w:iCs w:val="false"/>
          <w:color w:val="000000"/>
          <w:sz w:val="19"/>
          <w:szCs w:val="19"/>
        </w:rPr>
        <w:t xml:space="preserve">　本計画は、川崎町における高齢者福祉と介護保険事業の総合的な指針です。介護保険法第117条に基づく市町村介護保険事業計画と、老人福祉法第20条の8に基づく市町村老人福祉計画を一体的に策定するとともに、令和6年1月施行の認知症基本法に対応した認知症施策推進計画を本計画に内包します。</w:t>
      </w:r>
    </w:p>
    <w:p>
      <w:pPr>
        <w:pBdr>
          <w:top w:val="single" w:color="1F3864" w:sz="12"/>
        </w:pBdr>
        <w:shd w:fill="DAE3F3" w:val="solid"/>
        <w:spacing w:after="0" w:before="200"/>
      </w:pPr>
      <w:r>
        <w:rPr>
          <w:rFonts w:ascii="游ゴシック" w:cs="游ゴシック" w:eastAsia="游ゴシック" w:hAnsi="游ゴシック"/>
          <w:b/>
          <w:bCs/>
          <w:i w:val="false"/>
          <w:iCs w:val="false"/>
          <w:color w:val="1F3864"/>
          <w:sz w:val="22"/>
          <w:szCs w:val="22"/>
        </w:rPr>
        <w:t xml:space="preserve">◆ 計画期間</w:t>
      </w:r>
    </w:p>
    <w:p>
      <w:pPr>
        <w:pBdr>
          <w:bottom w:val="single" w:color="1F3864" w:sz="4"/>
        </w:pBdr>
        <w:shd w:fill="FAFAFA" w:val="solid"/>
        <w:spacing w:after="200" w:before="0"/>
      </w:pPr>
      <w:r>
        <w:rPr>
          <w:rFonts w:ascii="游ゴシック" w:cs="游ゴシック" w:eastAsia="游ゴシック" w:hAnsi="游ゴシック"/>
          <w:b w:val="false"/>
          <w:bCs w:val="false"/>
          <w:i w:val="false"/>
          <w:iCs w:val="false"/>
          <w:color w:val="000000"/>
          <w:sz w:val="19"/>
          <w:szCs w:val="19"/>
        </w:rPr>
        <w:t xml:space="preserve">　令和9年度から令和11年度までの3年間。第10期介護保険事業計画として位置付けられます。本計画策定後、令和12年度に第11期計画策定を予定。</w:t>
      </w:r>
    </w:p>
    <w:p>
      <w:pPr>
        <w:pBdr>
          <w:top w:val="single" w:color="1F3864" w:sz="12"/>
        </w:pBdr>
        <w:shd w:fill="DAE3F3" w:val="solid"/>
        <w:spacing w:after="0" w:before="200"/>
      </w:pPr>
      <w:r>
        <w:rPr>
          <w:rFonts w:ascii="游ゴシック" w:cs="游ゴシック" w:eastAsia="游ゴシック" w:hAnsi="游ゴシック"/>
          <w:b/>
          <w:bCs/>
          <w:i w:val="false"/>
          <w:iCs w:val="false"/>
          <w:color w:val="1F3864"/>
          <w:sz w:val="22"/>
          <w:szCs w:val="22"/>
        </w:rPr>
        <w:t xml:space="preserve">◆ 計画策定の体制</w:t>
      </w:r>
    </w:p>
    <w:p>
      <w:pPr>
        <w:pBdr>
          <w:bottom w:val="single" w:color="1F3864" w:sz="4"/>
        </w:pBdr>
        <w:shd w:fill="FAFAFA" w:val="solid"/>
        <w:spacing w:after="200" w:before="0"/>
      </w:pPr>
      <w:r>
        <w:rPr>
          <w:rFonts w:ascii="游ゴシック" w:cs="游ゴシック" w:eastAsia="游ゴシック" w:hAnsi="游ゴシック"/>
          <w:b w:val="false"/>
          <w:bCs w:val="false"/>
          <w:i w:val="false"/>
          <w:iCs w:val="false"/>
          <w:color w:val="000000"/>
          <w:sz w:val="19"/>
          <w:szCs w:val="19"/>
        </w:rPr>
        <w:t xml:space="preserve">　川崎町高齢者保健福祉計画策定委員会（学識経験者・医療関係者・社会福祉協議会・民生委員・住民代表等で構成）の審議を経て策定します。令和8年8月の第1回策定委員会から始まり、令和9年2月の第4回策定委員会・町長答申までを予定。</w:t>
      </w:r>
    </w:p>
    <w:p>
      <w:pPr>
        <w:pBdr>
          <w:top w:val="single" w:color="ED7D31" w:sz="12"/>
          <w:bottom w:val="single" w:color="ED7D31" w:sz="12"/>
        </w:pBdr>
        <w:shd w:fill="FCE4D6" w:val="solid"/>
        <w:spacing w:after="200" w:before="200"/>
      </w:pPr>
      <w:r>
        <w:rPr>
          <w:rFonts w:ascii="游ゴシック" w:cs="游ゴシック" w:eastAsia="游ゴシック" w:hAnsi="游ゴシック"/>
          <w:b/>
          <w:bCs/>
          <w:i w:val="false"/>
          <w:iCs w:val="false"/>
          <w:color w:val="ED7D31"/>
          <w:sz w:val="20"/>
          <w:szCs w:val="20"/>
        </w:rPr>
        <w:t xml:space="preserve">【川崎町固有】 </w:t>
      </w:r>
      <w:r>
        <w:rPr>
          <w:rFonts w:ascii="游ゴシック" w:cs="游ゴシック" w:eastAsia="游ゴシック" w:hAnsi="游ゴシック"/>
          <w:b/>
          <w:bCs/>
          <w:i w:val="false"/>
          <w:iCs w:val="false"/>
          <w:color w:val="1F3864"/>
          <w:sz w:val="20"/>
          <w:szCs w:val="20"/>
        </w:rPr>
        <w:t xml:space="preserve">3計画同時策定（高齢×地域福祉×障害）
　</w:t>
      </w:r>
      <w:r>
        <w:rPr>
          <w:rFonts w:ascii="游ゴシック" w:cs="游ゴシック" w:eastAsia="游ゴシック" w:hAnsi="游ゴシック"/>
          <w:b w:val="false"/>
          <w:bCs w:val="false"/>
          <w:i w:val="false"/>
          <w:iCs w:val="false"/>
          <w:color w:val="000000"/>
          <w:sz w:val="19"/>
          <w:szCs w:val="19"/>
        </w:rPr>
        <w:t xml:space="preserve">本計画と同時期に、地域福祉計画（ジャパン総研策定）・障害者計画（同）の3計画が並行策定されます。重層的支援体制整備・移動支援連動・データ共有等で相互整合を図りながら進めます。</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375623" w:sz="18"/>
          <w:bottom w:val="double" w:color="375623" w:sz="18"/>
        </w:pBdr>
        <w:shd w:fill="E2EFDA" w:val="solid"/>
        <w:spacing w:after="240" w:before="240" w:line="360"/>
        <w:jc w:val="center"/>
      </w:pPr>
      <w:r>
        <w:rPr>
          <w:rFonts w:ascii="游ゴシック" w:cs="游ゴシック" w:eastAsia="游ゴシック" w:hAnsi="游ゴシック"/>
          <w:b/>
          <w:bCs/>
          <w:i w:val="false"/>
          <w:iCs w:val="false"/>
          <w:color w:val="375623"/>
          <w:sz w:val="28"/>
          <w:szCs w:val="28"/>
        </w:rPr>
        <w:t xml:space="preserve">第2章　</w:t>
      </w:r>
      <w:r>
        <w:rPr>
          <w:rFonts w:ascii="游ゴシック" w:cs="游ゴシック" w:eastAsia="游ゴシック" w:hAnsi="游ゴシック"/>
          <w:b/>
          <w:bCs/>
          <w:i w:val="false"/>
          <w:iCs w:val="false"/>
          <w:color w:val="375623"/>
          <w:sz w:val="28"/>
          <w:szCs w:val="28"/>
        </w:rPr>
        <w:t xml:space="preserve">川崎町の高齢者を取り巻く現状</w:t>
      </w:r>
    </w:p>
    <w:p>
      <w:pPr>
        <w:pBdr>
          <w:bottom w:val="single" w:color="375623" w:sz="4"/>
        </w:pBdr>
        <w:shd w:fill="E2EFDA" w:val="solid"/>
        <w:spacing w:after="100" w:before="200" w:line="300"/>
      </w:pPr>
      <w:r>
        <w:rPr>
          <w:rFonts w:ascii="游ゴシック" w:cs="游ゴシック" w:eastAsia="游ゴシック" w:hAnsi="游ゴシック"/>
          <w:b/>
          <w:bCs/>
          <w:i w:val="false"/>
          <w:iCs w:val="false"/>
          <w:color w:val="375623"/>
          <w:sz w:val="22"/>
          <w:szCs w:val="22"/>
        </w:rPr>
        <w:t xml:space="preserve">　▌ 主要数値（令和7年6月時点）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6%"/>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数値</w:t>
            </w:r>
          </w:p>
        </w:tc>
        <w:tc>
          <w:tcPr>
            <w:tcW w:type="pct" w:w="44%"/>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特徴・比較</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総人口</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375623"/>
                <w:sz w:val="18"/>
                <w:szCs w:val="18"/>
              </w:rPr>
              <w:t xml:space="preserve">約8,000人（推計）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人口減少傾向</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第1号被保険者数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375623"/>
                <w:sz w:val="18"/>
                <w:szCs w:val="18"/>
              </w:rPr>
              <w:t xml:space="preserve">3,244人（R7.6）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緩やかな減少傾向</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後期高齢者（75歳以上）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1,675人（51.6%）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4年で+18.2%増（団塊世代到達）</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高齢化率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41.4%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C00000"/>
                <w:sz w:val="18"/>
                <w:szCs w:val="18"/>
              </w:rPr>
              <w:t xml:space="preserve">県内35市町村中5位・県平均28.5%・全国29.1%</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要介護認定者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375623"/>
                <w:sz w:val="18"/>
                <w:szCs w:val="18"/>
              </w:rPr>
              <w:t xml:space="preserve">約470人（推計）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認定率約14%（全国平均約19%より低い）</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サービス受給者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375623"/>
                <w:sz w:val="18"/>
                <w:szCs w:val="18"/>
              </w:rPr>
              <w:t xml:space="preserve">466人（R7.6）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居宅276・地密56・施設134</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住所地特例（町外施設）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24人（R7.6）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町外依存度比較的高い</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年間給付費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375623"/>
                <w:sz w:val="18"/>
                <w:szCs w:val="18"/>
              </w:rPr>
              <w:t xml:space="preserve">9.6億円（R3）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施設46.0%・居宅38.1%・地密15.9%</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第1号保険料（基準月額）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375623"/>
                <w:sz w:val="18"/>
                <w:szCs w:val="18"/>
              </w:rPr>
              <w:t xml:space="preserve">第8期6,380→第9期6,500円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上昇率+1.9%（全国平均より抑制的）</w:t>
            </w:r>
          </w:p>
        </w:tc>
      </w:tr>
    </w:tbl>
    <w:p>
      <w:pPr>
        <w:pBdr>
          <w:bottom w:val="single" w:color="375623" w:sz="4"/>
        </w:pBdr>
        <w:shd w:fill="E2EFDA" w:val="solid"/>
        <w:spacing w:after="100" w:before="240" w:line="300"/>
      </w:pPr>
      <w:r>
        <w:rPr>
          <w:rFonts w:ascii="游ゴシック" w:cs="游ゴシック" w:eastAsia="游ゴシック" w:hAnsi="游ゴシック"/>
          <w:b/>
          <w:bCs/>
          <w:i w:val="false"/>
          <w:iCs w:val="false"/>
          <w:color w:val="375623"/>
          <w:sz w:val="22"/>
          <w:szCs w:val="22"/>
        </w:rPr>
        <w:t xml:space="preserve">　▌ 高齢化率比較（川崎町：県内5位）</w:t>
      </w: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図1　高齢化率の比較（川崎町41.4%・宮城県28.5%・全国29.1%）</w:t>
      </w:r>
    </w:p>
    <w:p>
      <w:pPr>
        <w:pBdr>
          <w:top w:val="single" w:color="ED7D31" w:sz="12"/>
          <w:bottom w:val="single" w:color="ED7D31" w:sz="12"/>
        </w:pBdr>
        <w:shd w:fill="FCE4D6" w:val="solid"/>
        <w:spacing w:after="200" w:before="200"/>
      </w:pPr>
      <w:r>
        <w:rPr>
          <w:rFonts w:ascii="游ゴシック" w:cs="游ゴシック" w:eastAsia="游ゴシック" w:hAnsi="游ゴシック"/>
          <w:b/>
          <w:bCs/>
          <w:i w:val="false"/>
          <w:iCs w:val="false"/>
          <w:color w:val="ED7D31"/>
          <w:sz w:val="20"/>
          <w:szCs w:val="20"/>
        </w:rPr>
        <w:t xml:space="preserve">【川崎町固有】 </w:t>
      </w:r>
      <w:r>
        <w:rPr>
          <w:rFonts w:ascii="游ゴシック" w:cs="游ゴシック" w:eastAsia="游ゴシック" w:hAnsi="游ゴシック"/>
          <w:b/>
          <w:bCs/>
          <w:i w:val="false"/>
          <w:iCs w:val="false"/>
          <w:color w:val="1F3864"/>
          <w:sz w:val="20"/>
          <w:szCs w:val="20"/>
        </w:rPr>
        <w:t xml:space="preserve">川崎町の人口・世帯特性
　</w:t>
      </w:r>
      <w:r>
        <w:rPr>
          <w:rFonts w:ascii="游ゴシック" w:cs="游ゴシック" w:eastAsia="游ゴシック" w:hAnsi="游ゴシック"/>
          <w:b w:val="false"/>
          <w:bCs w:val="false"/>
          <w:i w:val="false"/>
          <w:iCs w:val="false"/>
          <w:color w:val="000000"/>
          <w:sz w:val="19"/>
          <w:szCs w:val="19"/>
        </w:rPr>
        <w:t xml:space="preserve">中山間部の地理的特性・人口減少・独居高齢者・高齢者世帯の増加。介護人材不足、本町取り巻く課題は多岐。第9期計画策定から3年を経過し、令和7年3月の高齢者外出タクシー助成事業の終了、介護施設の役場周辺偏在化、認知症基本法施行への対応など、新たな政策課題が生じています。</w:t>
      </w:r>
    </w:p>
    <w:p>
      <w:pPr>
        <w:pBdr>
          <w:bottom w:val="single" w:color="375623" w:sz="4"/>
        </w:pBdr>
        <w:shd w:fill="E2EFDA" w:val="solid"/>
        <w:spacing w:after="100" w:before="240" w:line="300"/>
      </w:pPr>
      <w:r>
        <w:rPr>
          <w:rFonts w:ascii="游ゴシック" w:cs="游ゴシック" w:eastAsia="游ゴシック" w:hAnsi="游ゴシック"/>
          <w:b/>
          <w:bCs/>
          <w:i w:val="false"/>
          <w:iCs w:val="false"/>
          <w:color w:val="375623"/>
          <w:sz w:val="22"/>
          <w:szCs w:val="22"/>
        </w:rPr>
        <w:t xml:space="preserve">　▌ サービス受給者の構成（R7.6時点）</w:t>
      </w: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　サービス受給者の区分別構成（466人）</w:t>
      </w:r>
    </w:p>
    <w:p>
      <w:pPr>
        <w:pBdr>
          <w:bottom w:val="single" w:color="375623" w:sz="4"/>
        </w:pBdr>
        <w:shd w:fill="E2EFDA" w:val="solid"/>
        <w:spacing w:after="100" w:before="200" w:line="300"/>
      </w:pPr>
      <w:r>
        <w:rPr>
          <w:rFonts w:ascii="游ゴシック" w:cs="游ゴシック" w:eastAsia="游ゴシック" w:hAnsi="游ゴシック"/>
          <w:b/>
          <w:bCs/>
          <w:i w:val="false"/>
          <w:iCs w:val="false"/>
          <w:color w:val="375623"/>
          <w:sz w:val="22"/>
          <w:szCs w:val="22"/>
        </w:rPr>
        <w:t xml:space="preserve">　▌ 川崎町の地域資源</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・国保川崎病院（町内唯一の医療拠点）／みやぎ県南中核病院・刈田綜合病院との広域連携</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・地域包括支援センター（社協運営・保健師3+認定調査1=4名）</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・ユニバーサルサポーター制度（14種別約400名）— 川崎町独自</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・認知症サポーター累計550名・キャラバンメイト73名</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・移動支援3層構造（社協NPO移送＋デマンドバス＋町民バス）</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・独自施策：紙おむつ・エアコン購入支援（R7.10開始）・透析助成</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2E75B6" w:sz="18"/>
          <w:bottom w:val="double" w:color="2E75B6" w:sz="18"/>
        </w:pBdr>
        <w:shd w:fill="DAE3F3" w:val="solid"/>
        <w:spacing w:after="240" w:before="240" w:line="360"/>
        <w:jc w:val="center"/>
      </w:pPr>
      <w:r>
        <w:rPr>
          <w:rFonts w:ascii="游ゴシック" w:cs="游ゴシック" w:eastAsia="游ゴシック" w:hAnsi="游ゴシック"/>
          <w:b/>
          <w:bCs/>
          <w:i w:val="false"/>
          <w:iCs w:val="false"/>
          <w:color w:val="2E75B6"/>
          <w:sz w:val="28"/>
          <w:szCs w:val="28"/>
        </w:rPr>
        <w:t xml:space="preserve">第3章　</w:t>
      </w:r>
      <w:r>
        <w:rPr>
          <w:rFonts w:ascii="游ゴシック" w:cs="游ゴシック" w:eastAsia="游ゴシック" w:hAnsi="游ゴシック"/>
          <w:b/>
          <w:bCs/>
          <w:i w:val="false"/>
          <w:iCs w:val="false"/>
          <w:color w:val="2E75B6"/>
          <w:sz w:val="28"/>
          <w:szCs w:val="28"/>
        </w:rPr>
        <w:t xml:space="preserve">第9期計画の取組実績と評価</w:t>
      </w:r>
    </w:p>
    <w:p>
      <w:pPr>
        <w:pBdr>
          <w:top w:val="single" w:color="1F3864" w:sz="12"/>
        </w:pBdr>
        <w:shd w:fill="DAE3F3" w:val="solid"/>
        <w:spacing w:after="0" w:before="200"/>
      </w:pPr>
      <w:r>
        <w:rPr>
          <w:rFonts w:ascii="游ゴシック" w:cs="游ゴシック" w:eastAsia="游ゴシック" w:hAnsi="游ゴシック"/>
          <w:b/>
          <w:bCs/>
          <w:i w:val="false"/>
          <w:iCs w:val="false"/>
          <w:color w:val="1F3864"/>
          <w:sz w:val="22"/>
          <w:szCs w:val="22"/>
        </w:rPr>
        <w:t xml:space="preserve">◆ 第9期計画の総括</w:t>
      </w:r>
    </w:p>
    <w:p>
      <w:pPr>
        <w:pBdr>
          <w:bottom w:val="single" w:color="1F3864" w:sz="4"/>
        </w:pBdr>
        <w:shd w:fill="FAFAFA" w:val="solid"/>
        <w:spacing w:after="200" w:before="0"/>
      </w:pPr>
      <w:r>
        <w:rPr>
          <w:rFonts w:ascii="游ゴシック" w:cs="游ゴシック" w:eastAsia="游ゴシック" w:hAnsi="游ゴシック"/>
          <w:b w:val="false"/>
          <w:bCs w:val="false"/>
          <w:i w:val="false"/>
          <w:iCs w:val="false"/>
          <w:color w:val="000000"/>
          <w:sz w:val="19"/>
          <w:szCs w:val="19"/>
        </w:rPr>
        <w:t xml:space="preserve">　第9期計画（令和6〜8年度）は、第8期の体系を踏襲しつつ地域包括ケアシステムの深化を目指し、5基本目標のもとに体系化されました。健康づくり・介護予防、見守り、在宅生活継続支援、地域連携を柱とする体系で進められました。</w:t>
      </w:r>
    </w:p>
    <w:p>
      <w:pPr>
        <w:pBdr>
          <w:bottom w:val="single" w:color="2E75B6" w:sz="4"/>
        </w:pBdr>
        <w:shd w:fill="DAE3F3" w:val="solid"/>
        <w:spacing w:after="100" w:before="240" w:line="300"/>
      </w:pPr>
      <w:r>
        <w:rPr>
          <w:rFonts w:ascii="游ゴシック" w:cs="游ゴシック" w:eastAsia="游ゴシック" w:hAnsi="游ゴシック"/>
          <w:b/>
          <w:bCs/>
          <w:i w:val="false"/>
          <w:iCs w:val="false"/>
          <w:color w:val="2E75B6"/>
          <w:sz w:val="22"/>
          <w:szCs w:val="22"/>
        </w:rPr>
        <w:t xml:space="preserve">　▌ 第9期主要施策の取組実績（基本目標別）</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基本目標</w:t>
            </w:r>
          </w:p>
        </w:tc>
        <w:tc>
          <w:tcPr>
            <w:tcW w:type="pct" w:w="5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主な取組</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第10期への課題</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1. 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ユニバーサルサポーター制度14種別約400名による介護予防活動・通いの場運営・健診・栄養支援等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後期高齢者急増（+18.2%）への対応、中山間地域での通いの場参加と移動支援連動</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ふれあいネットワーク145名による見守り、緊急通報装置設置、移動支援（R7.3タクシー助成終了→3層構造移行）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3層移動支援の住民周知強化、所管調整、福祉施設の役場周辺偏在対応</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国保川崎病院＋広域医療連携、家族介護教室、レスパイト支援、住宅改修・福祉用具利用支援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8050問題・老老介護対応、家族介護者支援強化、介護離職防止</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4. 質確保・人材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町内事業所・施設サービス（特養68・老健66受給）、住所地特例24人で町外依存</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施設の地域偏在対応、住所地特例所在自治体把握、介護人材確保</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地域包括支援センター（保健師3+認定調査1）、生活支援コーディネーター25名、自立支援型地域ケア会議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認定調査員の負担軽減、3計画同時策定での重層的支援体制整備</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6. 認知症施策
（第10期新設）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9333B0"/>
                <w:sz w:val="18"/>
                <w:szCs w:val="18"/>
              </w:rPr>
              <w:t xml:space="preserve">認知症サポーター累計550名、キャラバンメイト73名、認知症カフェ「喫茶みかん」、初期集中支援チーム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基本法対応：チームオレンジ整備（未実施）、本人ミーティング新設、KPI3層構造化</w:t>
            </w:r>
          </w:p>
        </w:tc>
      </w:tr>
    </w:tbl>
    <w:p>
      <w:pPr>
        <w:pBdr>
          <w:top w:val="single" w:color="1F3864" w:sz="12"/>
        </w:pBdr>
        <w:shd w:fill="DAE3F3" w:val="solid"/>
        <w:spacing w:after="0" w:before="200"/>
      </w:pPr>
      <w:r>
        <w:rPr>
          <w:rFonts w:ascii="游ゴシック" w:cs="游ゴシック" w:eastAsia="游ゴシック" w:hAnsi="游ゴシック"/>
          <w:b/>
          <w:bCs/>
          <w:i w:val="false"/>
          <w:iCs w:val="false"/>
          <w:color w:val="1F3864"/>
          <w:sz w:val="22"/>
          <w:szCs w:val="22"/>
        </w:rPr>
        <w:t xml:space="preserve">◆ 第10期に向けた5重点課題</w:t>
      </w:r>
    </w:p>
    <w:p>
      <w:pPr>
        <w:pBdr>
          <w:bottom w:val="single" w:color="1F3864" w:sz="4"/>
        </w:pBdr>
        <w:shd w:fill="FAFAFA" w:val="solid"/>
        <w:spacing w:after="200" w:before="0"/>
      </w:pPr>
      <w:r>
        <w:rPr>
          <w:rFonts w:ascii="游ゴシック" w:cs="游ゴシック" w:eastAsia="游ゴシック" w:hAnsi="游ゴシック"/>
          <w:b w:val="false"/>
          <w:bCs w:val="false"/>
          <w:i w:val="false"/>
          <w:iCs w:val="false"/>
          <w:color w:val="000000"/>
          <w:sz w:val="19"/>
          <w:szCs w:val="19"/>
        </w:rPr>
        <w:t xml:space="preserve">　①認知症対応（基本法対応）、②移動支援3層構造の確立、③在宅生活継続支援強化（8050問題・老老介護）、④施設広域連携・人材確保、⑤広域医療連携の体制整備。これら5課題が第10期計画の基本目標・重点施策の根拠となります。</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C55A11" w:sz="18"/>
          <w:bottom w:val="double" w:color="C55A11" w:sz="18"/>
        </w:pBdr>
        <w:shd w:fill="FCE4D6" w:val="solid"/>
        <w:spacing w:after="240" w:before="240" w:line="360"/>
        <w:jc w:val="center"/>
      </w:pPr>
      <w:r>
        <w:rPr>
          <w:rFonts w:ascii="游ゴシック" w:cs="游ゴシック" w:eastAsia="游ゴシック" w:hAnsi="游ゴシック"/>
          <w:b/>
          <w:bCs/>
          <w:i w:val="false"/>
          <w:iCs w:val="false"/>
          <w:color w:val="C55A11"/>
          <w:sz w:val="28"/>
          <w:szCs w:val="28"/>
        </w:rPr>
        <w:t xml:space="preserve">第4章　</w:t>
      </w:r>
      <w:r>
        <w:rPr>
          <w:rFonts w:ascii="游ゴシック" w:cs="游ゴシック" w:eastAsia="游ゴシック" w:hAnsi="游ゴシック"/>
          <w:b/>
          <w:bCs/>
          <w:i w:val="false"/>
          <w:iCs w:val="false"/>
          <w:color w:val="C55A11"/>
          <w:sz w:val="28"/>
          <w:szCs w:val="28"/>
        </w:rPr>
        <w:t xml:space="preserve">計画の基本理念と基本目標</w:t>
      </w:r>
    </w:p>
    <w:p>
      <w:pPr>
        <w:pBdr>
          <w:bottom w:val="single" w:color="C55A11" w:sz="4"/>
        </w:pBdr>
        <w:shd w:fill="FCE4D6" w:val="solid"/>
        <w:spacing w:after="100" w:before="240" w:line="300"/>
      </w:pPr>
      <w:r>
        <w:rPr>
          <w:rFonts w:ascii="游ゴシック" w:cs="游ゴシック" w:eastAsia="游ゴシック" w:hAnsi="游ゴシック"/>
          <w:b/>
          <w:bCs/>
          <w:i w:val="false"/>
          <w:iCs w:val="false"/>
          <w:color w:val="C55A11"/>
          <w:sz w:val="22"/>
          <w:szCs w:val="22"/>
        </w:rPr>
        <w:t xml:space="preserve">　▌ 基本理念（第9期から継承）</w:t>
      </w:r>
    </w:p>
    <w:p>
      <w:pPr>
        <w:pBdr>
          <w:top w:val="double" w:color="C55A11" w:sz="18"/>
          <w:bottom w:val="double" w:color="C55A11" w:sz="18"/>
        </w:pBdr>
        <w:shd w:fill="FCE4D6" w:val="solid"/>
        <w:spacing w:after="200" w:before="200"/>
        <w:jc w:val="center"/>
      </w:pPr>
      <w:r>
        <w:rPr>
          <w:rFonts w:ascii="游ゴシック" w:cs="游ゴシック" w:eastAsia="游ゴシック" w:hAnsi="游ゴシック"/>
          <w:b/>
          <w:bCs/>
          <w:i w:val="false"/>
          <w:iCs w:val="false"/>
          <w:color w:val="C55A11"/>
          <w:sz w:val="28"/>
          <w:szCs w:val="28"/>
        </w:rPr>
        <w:t xml:space="preserve">住民が住み慣れた地域で安心して暮らせるまちづくり</w:t>
      </w:r>
    </w:p>
    <w:p>
      <w:pPr>
        <w:pBdr>
          <w:bottom w:val="single" w:color="9333B0" w:sz="4"/>
        </w:pBdr>
        <w:shd w:fill="EAD5F0" w:val="solid"/>
        <w:spacing w:after="100" w:before="200" w:line="300"/>
      </w:pPr>
      <w:r>
        <w:rPr>
          <w:rFonts w:ascii="游ゴシック" w:cs="游ゴシック" w:eastAsia="游ゴシック" w:hAnsi="游ゴシック"/>
          <w:b/>
          <w:bCs/>
          <w:i w:val="false"/>
          <w:iCs w:val="false"/>
          <w:color w:val="9333B0"/>
          <w:sz w:val="22"/>
          <w:szCs w:val="22"/>
        </w:rPr>
        <w:t xml:space="preserve">　▌ サブタイトル（第10期で新たに付加・案・協議事項1）</w:t>
      </w:r>
    </w:p>
    <w:p>
      <w:pPr>
        <w:pBdr>
          <w:top w:val="single" w:color="9333B0" w:sz="12"/>
          <w:bottom w:val="single" w:color="9333B0" w:sz="12"/>
        </w:pBdr>
        <w:shd w:fill="EAD5F0" w:val="solid"/>
        <w:spacing w:after="200" w:before="200"/>
        <w:jc w:val="center"/>
      </w:pPr>
      <w:r>
        <w:rPr>
          <w:rFonts w:ascii="游ゴシック" w:cs="游ゴシック" w:eastAsia="游ゴシック" w:hAnsi="游ゴシック"/>
          <w:b w:val="false"/>
          <w:bCs w:val="false"/>
          <w:i/>
          <w:iCs/>
          <w:color w:val="9333B0"/>
          <w:sz w:val="22"/>
          <w:szCs w:val="22"/>
        </w:rPr>
        <w:t xml:space="preserve">〜 認知症になっても誰もが自分らしく暮らせる地域共生社会の実現 〜</w:t>
      </w:r>
    </w:p>
    <w:p>
      <w:pPr>
        <w:pBdr>
          <w:bottom w:val="single" w:color="C55A11" w:sz="4"/>
        </w:pBdr>
        <w:shd w:fill="FCE4D6" w:val="solid"/>
        <w:spacing w:after="100" w:before="240" w:line="300"/>
      </w:pPr>
      <w:r>
        <w:rPr>
          <w:rFonts w:ascii="游ゴシック" w:cs="游ゴシック" w:eastAsia="游ゴシック" w:hAnsi="游ゴシック"/>
          <w:b/>
          <w:bCs/>
          <w:i w:val="false"/>
          <w:iCs w:val="false"/>
          <w:color w:val="C55A11"/>
          <w:sz w:val="22"/>
          <w:szCs w:val="22"/>
        </w:rPr>
        <w:t xml:space="preserve">　▌ 基本目標（6目標体系）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6%"/>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基本目標</w:t>
            </w:r>
          </w:p>
        </w:tc>
        <w:tc>
          <w:tcPr>
            <w:tcW w:type="pct" w:w="44%"/>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施策の方向性（概要）</w:t>
            </w:r>
          </w:p>
        </w:tc>
        <w:tc>
          <w:tcPr>
            <w:tcW w:type="pct" w:w="12%"/>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対応課題</w:t>
            </w:r>
          </w:p>
        </w:tc>
        <w:tc>
          <w:tcPr>
            <w:tcW w:type="pct" w:w="8%"/>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章</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ユニバーサルサポーター制度を基盤に、後期高齢者を含む全世代の介護予防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第5章</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見守り・移動支援3層構造・住まいの確保、町独自支援（エアコン・紙おむつ等）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第5章</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在宅医療・介護連携、広域医療連携、家族介護者支援、介護離職防止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③⑤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第5章</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介護サービスの質確保と提供体制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サービスの質確保、町外施設利用（住所地特例24人）、介護人材確保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④</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第5章</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包括センター強化、生活支援体制整備、自立支援型地域ケア会議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第5章</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9333B0"/>
                <w:sz w:val="18"/>
                <w:szCs w:val="18"/>
              </w:rPr>
              <w:t xml:space="preserve">認知症基本法対応・第6章独立章化・7基本的施策・重点5本柱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第6章</w:t>
            </w:r>
          </w:p>
        </w:tc>
      </w:tr>
    </w:tbl>
    <w:p>
      <w:pPr>
        <w:pBdr>
          <w:top w:val="single" w:color="ED7D31" w:sz="12"/>
          <w:bottom w:val="single" w:color="ED7D31" w:sz="12"/>
        </w:pBdr>
        <w:shd w:fill="FCE4D6" w:val="solid"/>
        <w:spacing w:after="200" w:before="200"/>
      </w:pPr>
      <w:r>
        <w:rPr>
          <w:rFonts w:ascii="游ゴシック" w:cs="游ゴシック" w:eastAsia="游ゴシック" w:hAnsi="游ゴシック"/>
          <w:b/>
          <w:bCs/>
          <w:i w:val="false"/>
          <w:iCs w:val="false"/>
          <w:color w:val="ED7D31"/>
          <w:sz w:val="20"/>
          <w:szCs w:val="20"/>
        </w:rPr>
        <w:t xml:space="preserve">【川崎町固有】 </w:t>
      </w:r>
      <w:r>
        <w:rPr>
          <w:rFonts w:ascii="游ゴシック" w:cs="游ゴシック" w:eastAsia="游ゴシック" w:hAnsi="游ゴシック"/>
          <w:b/>
          <w:bCs/>
          <w:i w:val="false"/>
          <w:iCs w:val="false"/>
          <w:color w:val="1F3864"/>
          <w:sz w:val="20"/>
          <w:szCs w:val="20"/>
        </w:rPr>
        <w:t xml:space="preserve">第10期での新設・強化要素
　</w:t>
      </w:r>
      <w:r>
        <w:rPr>
          <w:rFonts w:ascii="游ゴシック" w:cs="游ゴシック" w:eastAsia="游ゴシック" w:hAnsi="游ゴシック"/>
          <w:b w:val="false"/>
          <w:bCs w:val="false"/>
          <w:i w:val="false"/>
          <w:iCs w:val="false"/>
          <w:color w:val="000000"/>
          <w:sz w:val="19"/>
          <w:szCs w:val="19"/>
        </w:rPr>
        <w:t xml:space="preserve">基本目標6（認知症施策の総合的推進）の新設＝認知症基本法対応、基本目標2の移動支援3層構造の整理、基本目標4の広域連携の明示、基本目標6 7基本的施策に対応した町施策体系（重点5本柱）の構築が第10期の特徴です。</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7030A0" w:sz="18"/>
          <w:bottom w:val="double" w:color="7030A0" w:sz="18"/>
        </w:pBdr>
        <w:shd w:fill="E4D6F0" w:val="solid"/>
        <w:spacing w:after="240" w:before="240" w:line="360"/>
        <w:jc w:val="center"/>
      </w:pPr>
      <w:r>
        <w:rPr>
          <w:rFonts w:ascii="游ゴシック" w:cs="游ゴシック" w:eastAsia="游ゴシック" w:hAnsi="游ゴシック"/>
          <w:b/>
          <w:bCs/>
          <w:i w:val="false"/>
          <w:iCs w:val="false"/>
          <w:color w:val="7030A0"/>
          <w:sz w:val="28"/>
          <w:szCs w:val="28"/>
        </w:rPr>
        <w:t xml:space="preserve">第5章　</w:t>
      </w:r>
      <w:r>
        <w:rPr>
          <w:rFonts w:ascii="游ゴシック" w:cs="游ゴシック" w:eastAsia="游ゴシック" w:hAnsi="游ゴシック"/>
          <w:b/>
          <w:bCs/>
          <w:i w:val="false"/>
          <w:iCs w:val="false"/>
          <w:color w:val="7030A0"/>
          <w:sz w:val="28"/>
          <w:szCs w:val="28"/>
        </w:rPr>
        <w:t xml:space="preserve">施策の展開（基本目標1〜5）</w:t>
      </w:r>
    </w:p>
    <w:p>
      <w:pPr>
        <w:pBdr>
          <w:top w:val="single" w:color="1F3864" w:sz="12"/>
        </w:pBdr>
        <w:shd w:fill="DAE3F3" w:val="solid"/>
        <w:spacing w:after="0" w:before="200"/>
      </w:pPr>
      <w:r>
        <w:rPr>
          <w:rFonts w:ascii="游ゴシック" w:cs="游ゴシック" w:eastAsia="游ゴシック" w:hAnsi="游ゴシック"/>
          <w:b/>
          <w:bCs/>
          <w:i w:val="false"/>
          <w:iCs w:val="false"/>
          <w:color w:val="1F3864"/>
          <w:sz w:val="22"/>
          <w:szCs w:val="22"/>
        </w:rPr>
        <w:t xml:space="preserve">◆ 施策展開の考え方</w:t>
      </w:r>
    </w:p>
    <w:p>
      <w:pPr>
        <w:pBdr>
          <w:bottom w:val="single" w:color="1F3864" w:sz="4"/>
        </w:pBdr>
        <w:shd w:fill="FAFAFA" w:val="solid"/>
        <w:spacing w:after="200" w:before="0"/>
      </w:pPr>
      <w:r>
        <w:rPr>
          <w:rFonts w:ascii="游ゴシック" w:cs="游ゴシック" w:eastAsia="游ゴシック" w:hAnsi="游ゴシック"/>
          <w:b w:val="false"/>
          <w:bCs w:val="false"/>
          <w:i w:val="false"/>
          <w:iCs w:val="false"/>
          <w:color w:val="000000"/>
          <w:sz w:val="19"/>
          <w:szCs w:val="19"/>
        </w:rPr>
        <w:t xml:space="preserve">　第5章では基本目標1〜5に対応する施策・主な事業・KPIを整理します（基本目標6認知症施策は第6章で独立章として記載）。各施策は「住民ニーズ→施策→主な事業→KPI」の課題接続型で設計しています。</w:t>
      </w:r>
    </w:p>
    <w:p>
      <w:pPr>
        <w:pBdr>
          <w:bottom w:val="single" w:color="7030A0" w:sz="4"/>
        </w:pBdr>
        <w:shd w:fill="E4D6F0" w:val="solid"/>
        <w:spacing w:after="100" w:before="240" w:line="300"/>
      </w:pPr>
      <w:r>
        <w:rPr>
          <w:rFonts w:ascii="游ゴシック" w:cs="游ゴシック" w:eastAsia="游ゴシック" w:hAnsi="游ゴシック"/>
          <w:b/>
          <w:bCs/>
          <w:i w:val="false"/>
          <w:iCs w:val="false"/>
          <w:color w:val="7030A0"/>
          <w:sz w:val="22"/>
          <w:szCs w:val="22"/>
        </w:rPr>
        <w:t xml:space="preserve">　▌ 重点施策5項目（J-A〜J-E・課題接続型）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22%"/>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重点施策</w:t>
            </w:r>
          </w:p>
        </w:tc>
        <w:tc>
          <w:tcPr>
            <w:tcW w:type="pct" w:w="25%"/>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住民ニーズ（根拠）</w:t>
            </w:r>
          </w:p>
        </w:tc>
        <w:tc>
          <w:tcPr>
            <w:tcW w:type="pct" w:w="35%"/>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主な取組</w:t>
            </w:r>
          </w:p>
        </w:tc>
        <w:tc>
          <w:tcPr>
            <w:tcW w:type="pct" w:w="12%"/>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KPI候補</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J-A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認知症施策の総合的推進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9333B0"/>
                <w:sz w:val="18"/>
                <w:szCs w:val="18"/>
              </w:rPr>
              <w:t xml:space="preserve">認知症相談窓口認知の低さ・基本法対応必要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9333B0"/>
                <w:sz w:val="18"/>
                <w:szCs w:val="18"/>
              </w:rPr>
              <w:t xml:space="preserve">サポーター拡大・チームオレンジ新規整備・本人ミーティング新設・早期発見強化・医療連携深化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3層KPI</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J-B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移動支援3層構造の確立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タクシー助成終了後の3制度認知度低い・所管分散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社協NPO移送・デマンドバス・町民バスの整理、住民周知の一元化、所管調整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認知度70%</w:t>
            </w:r>
          </w:p>
        </w:tc>
      </w:tr>
      <w:tr>
        <w:tc>
          <w:tcPr>
            <w:shd w:fill="E4D6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家族介護者支援・介護離職防止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介護者負担大・介護離職発生・8050問題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家族介護教室・短期入所活用・8050問題対応・介護離職防止支援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介護離職率減</w:t>
            </w:r>
          </w:p>
        </w:tc>
      </w:tr>
      <w:tr>
        <w:tc>
          <w:tcPr>
            <w:shd w:fill="E4D6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施設広域連携・人材確保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住所地特例24人(R7.6)・町外依存・人材不足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町外施設情報整理・住所地特例所在自治体把握・人材確保支援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町外情報整備</w:t>
            </w:r>
          </w:p>
        </w:tc>
      </w:tr>
      <w:tr>
        <w:tc>
          <w:tcPr>
            <w:shd w:fill="E4D6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広域医療連携の体制整備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町外医療機関への通院常態化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みやぎ県南中核病院・刈田綜合病院連携・国保川崎病院のハブ化・救急体制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連携件数増</w:t>
            </w:r>
          </w:p>
        </w:tc>
      </w:tr>
    </w:tbl>
    <w:p>
      <w:pPr>
        <w:pBdr>
          <w:top w:val="single" w:color="ED7D31" w:sz="12"/>
          <w:bottom w:val="single" w:color="ED7D31" w:sz="12"/>
        </w:pBdr>
        <w:shd w:fill="FCE4D6" w:val="solid"/>
        <w:spacing w:after="200" w:before="200"/>
      </w:pPr>
      <w:r>
        <w:rPr>
          <w:rFonts w:ascii="游ゴシック" w:cs="游ゴシック" w:eastAsia="游ゴシック" w:hAnsi="游ゴシック"/>
          <w:b/>
          <w:bCs/>
          <w:i w:val="false"/>
          <w:iCs w:val="false"/>
          <w:color w:val="ED7D31"/>
          <w:sz w:val="20"/>
          <w:szCs w:val="20"/>
        </w:rPr>
        <w:t xml:space="preserve">【川崎町固有】 </w:t>
      </w:r>
      <w:r>
        <w:rPr>
          <w:rFonts w:ascii="游ゴシック" w:cs="游ゴシック" w:eastAsia="游ゴシック" w:hAnsi="游ゴシック"/>
          <w:b/>
          <w:bCs/>
          <w:i w:val="false"/>
          <w:iCs w:val="false"/>
          <w:color w:val="1F3864"/>
          <w:sz w:val="20"/>
          <w:szCs w:val="20"/>
        </w:rPr>
        <w:t xml:space="preserve">J-Bの優先実行
　</w:t>
      </w:r>
      <w:r>
        <w:rPr>
          <w:rFonts w:ascii="游ゴシック" w:cs="游ゴシック" w:eastAsia="游ゴシック" w:hAnsi="游ゴシック"/>
          <w:b w:val="false"/>
          <w:bCs w:val="false"/>
          <w:i w:val="false"/>
          <w:iCs w:val="false"/>
          <w:color w:val="000000"/>
          <w:sz w:val="19"/>
          <w:szCs w:val="19"/>
        </w:rPr>
        <w:t xml:space="preserve">重点施策J-B移動支援3層構造の確立は、令和7年3月のタクシー助成終了を踏まえた最重要施策の一つ。所管が地域振興課・町民生活課・社協・NPOに分散しており、利用者目線での情報一元化と住民周知の強化が急務。第1回策定委員会の協議事項3として取り上げます。</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9333B0" w:sz="18"/>
          <w:bottom w:val="double" w:color="9333B0" w:sz="18"/>
        </w:pBdr>
        <w:shd w:fill="EAD5F0" w:val="solid"/>
        <w:spacing w:after="240" w:before="240" w:line="360"/>
        <w:jc w:val="center"/>
      </w:pPr>
      <w:r>
        <w:rPr>
          <w:rFonts w:ascii="游ゴシック" w:cs="游ゴシック" w:eastAsia="游ゴシック" w:hAnsi="游ゴシック"/>
          <w:b/>
          <w:bCs/>
          <w:i w:val="false"/>
          <w:iCs w:val="false"/>
          <w:color w:val="9333B0"/>
          <w:sz w:val="28"/>
          <w:szCs w:val="28"/>
        </w:rPr>
        <w:t xml:space="preserve">第6章　</w:t>
      </w:r>
      <w:r>
        <w:rPr>
          <w:rFonts w:ascii="游ゴシック" w:cs="游ゴシック" w:eastAsia="游ゴシック" w:hAnsi="游ゴシック"/>
          <w:b/>
          <w:bCs/>
          <w:i w:val="false"/>
          <w:iCs w:val="false"/>
          <w:color w:val="9333B0"/>
          <w:sz w:val="28"/>
          <w:szCs w:val="28"/>
        </w:rPr>
        <w:t xml:space="preserve">認知症施策推進計画（独立章）</w:t>
      </w:r>
    </w:p>
    <w:p>
      <w:pPr>
        <w:pBdr>
          <w:top w:val="single" w:color="9333B0" w:sz="12"/>
          <w:bottom w:val="single" w:color="9333B0" w:sz="12"/>
        </w:pBdr>
        <w:shd w:fill="EAD5F0" w:val="solid"/>
        <w:spacing w:after="200" w:before="200"/>
      </w:pPr>
      <w:r>
        <w:rPr>
          <w:rFonts w:ascii="游ゴシック" w:cs="游ゴシック" w:eastAsia="游ゴシック" w:hAnsi="游ゴシック"/>
          <w:b/>
          <w:bCs/>
          <w:i w:val="false"/>
          <w:iCs w:val="false"/>
          <w:color w:val="9333B0"/>
          <w:sz w:val="22"/>
          <w:szCs w:val="22"/>
        </w:rPr>
        <w:t xml:space="preserve">◆ 認知症基本法対応 </w:t>
      </w:r>
      <w:r>
        <w:rPr>
          <w:rFonts w:ascii="游ゴシック" w:cs="游ゴシック" w:eastAsia="游ゴシック" w:hAnsi="游ゴシック"/>
          <w:b w:val="false"/>
          <w:bCs w:val="false"/>
          <w:i w:val="false"/>
          <w:iCs w:val="false"/>
          <w:color w:val="000000"/>
          <w:sz w:val="20"/>
          <w:szCs w:val="20"/>
        </w:rPr>
        <w:t xml:space="preserve">令和6年1月施行の認知症基本法第14条に基づき、市町村認知症施策推進計画を本計画第6章として独立章化します。本章は基本法第15条〜21条の7基本的施策に対応した町施策体系で構成します。</w:t>
      </w:r>
    </w:p>
    <w:p>
      <w:pPr>
        <w:pBdr>
          <w:bottom w:val="single" w:color="9333B0" w:sz="4"/>
        </w:pBdr>
        <w:shd w:fill="EAD5F0" w:val="solid"/>
        <w:spacing w:after="100" w:before="240" w:line="300"/>
      </w:pPr>
      <w:r>
        <w:rPr>
          <w:rFonts w:ascii="游ゴシック" w:cs="游ゴシック" w:eastAsia="游ゴシック" w:hAnsi="游ゴシック"/>
          <w:b/>
          <w:bCs/>
          <w:i w:val="false"/>
          <w:iCs w:val="false"/>
          <w:color w:val="9333B0"/>
          <w:sz w:val="22"/>
          <w:szCs w:val="22"/>
        </w:rPr>
        <w:t xml:space="preserve">　▌ 重点施策5本柱（J-1〜J-5）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重点施策</w:t>
            </w:r>
          </w:p>
        </w:tc>
        <w:tc>
          <w:tcPr>
            <w:tcW w:type="pct" w:w="2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第9期からの位置付け</w:t>
            </w:r>
          </w:p>
        </w:tc>
        <w:tc>
          <w:tcPr>
            <w:tcW w:type="pct" w:w="36%"/>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第10期の取組</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継続（累計550名・キャラバンメイト73名）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企業・学校サポーター拡大、ステップアップ研修</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チームオレンジの整備（新規）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00000"/>
                <w:sz w:val="18"/>
                <w:szCs w:val="18"/>
              </w:rPr>
              <w:t xml:space="preserve">未整備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新規整備、本人・家族支援を実装</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「喫茶みかん」継続・本人M未実施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カフェ継続＋本人ミーティング新設</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初期集中支援チーム稼働中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もの忘れ相談継続、支援チーム強化</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認知症診断・治療・初期段階フォローの地域中核</w:t>
            </w:r>
          </w:p>
        </w:tc>
      </w:tr>
    </w:tbl>
    <w:p>
      <w:pPr>
        <w:pBdr>
          <w:bottom w:val="single" w:color="9333B0" w:sz="4"/>
        </w:pBdr>
        <w:shd w:fill="EAD5F0" w:val="solid"/>
        <w:spacing w:after="100" w:before="240" w:line="300"/>
      </w:pPr>
      <w:r>
        <w:rPr>
          <w:rFonts w:ascii="游ゴシック" w:cs="游ゴシック" w:eastAsia="游ゴシック" w:hAnsi="游ゴシック"/>
          <w:b/>
          <w:bCs/>
          <w:i w:val="false"/>
          <w:iCs w:val="false"/>
          <w:color w:val="9333B0"/>
          <w:sz w:val="22"/>
          <w:szCs w:val="22"/>
        </w:rPr>
        <w:t xml:space="preserve">　▌ KPIの3層構造（プロセス・アウトプット・アウトカム）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層</w:t>
            </w:r>
          </w:p>
        </w:tc>
        <w:tc>
          <w:tcPr>
            <w:tcW w:type="pct" w:w="3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44%"/>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川崎町のKPI例</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プロセス
（活動量）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町・包括センター・地域での認知症施策の活動回数等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サポーター養成講座開催回数、カフェ開催回数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アウトプット
（成果物）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活動の直接的な成果物・参加者数等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サポーター累計数(550名→目標)、チームオレンジ整備</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アウトカム
（住民の変化）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9333B0"/>
                <w:sz w:val="18"/>
                <w:szCs w:val="18"/>
              </w:rPr>
              <w:t xml:space="preserve">住民の意識・行動・QoLの変化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認知症本人と家族の地域生活満足度（アンケート測定）</w:t>
            </w:r>
          </w:p>
        </w:tc>
      </w:tr>
    </w:tbl>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0F4F73" w:sz="18"/>
          <w:bottom w:val="double" w:color="0F4F73" w:sz="18"/>
        </w:pBdr>
        <w:shd w:fill="D6E4F0" w:val="solid"/>
        <w:spacing w:after="240" w:before="240" w:line="360"/>
        <w:jc w:val="center"/>
      </w:pPr>
      <w:r>
        <w:rPr>
          <w:rFonts w:ascii="游ゴシック" w:cs="游ゴシック" w:eastAsia="游ゴシック" w:hAnsi="游ゴシック"/>
          <w:b/>
          <w:bCs/>
          <w:i w:val="false"/>
          <w:iCs w:val="false"/>
          <w:color w:val="0F4F73"/>
          <w:sz w:val="28"/>
          <w:szCs w:val="28"/>
        </w:rPr>
        <w:t xml:space="preserve">第7章　</w:t>
      </w:r>
      <w:r>
        <w:rPr>
          <w:rFonts w:ascii="游ゴシック" w:cs="游ゴシック" w:eastAsia="游ゴシック" w:hAnsi="游ゴシック"/>
          <w:b/>
          <w:bCs/>
          <w:i w:val="false"/>
          <w:iCs w:val="false"/>
          <w:color w:val="0F4F73"/>
          <w:sz w:val="28"/>
          <w:szCs w:val="28"/>
        </w:rPr>
        <w:t xml:space="preserve">介護保険サービス見込量と保険料</w:t>
      </w:r>
    </w:p>
    <w:p>
      <w:pPr>
        <w:pBdr>
          <w:top w:val="single" w:color="1F3864" w:sz="12"/>
        </w:pBdr>
        <w:shd w:fill="DAE3F3" w:val="solid"/>
        <w:spacing w:after="0" w:before="200"/>
      </w:pPr>
      <w:r>
        <w:rPr>
          <w:rFonts w:ascii="游ゴシック" w:cs="游ゴシック" w:eastAsia="游ゴシック" w:hAnsi="游ゴシック"/>
          <w:b/>
          <w:bCs/>
          <w:i w:val="false"/>
          <w:iCs w:val="false"/>
          <w:color w:val="1F3864"/>
          <w:sz w:val="22"/>
          <w:szCs w:val="22"/>
        </w:rPr>
        <w:t xml:space="preserve">◆ 第7章の構造</w:t>
      </w:r>
    </w:p>
    <w:p>
      <w:pPr>
        <w:pBdr>
          <w:bottom w:val="single" w:color="1F3864" w:sz="4"/>
        </w:pBdr>
        <w:shd w:fill="FAFAFA" w:val="solid"/>
        <w:spacing w:after="200" w:before="0"/>
      </w:pPr>
      <w:r>
        <w:rPr>
          <w:rFonts w:ascii="游ゴシック" w:cs="游ゴシック" w:eastAsia="游ゴシック" w:hAnsi="游ゴシック"/>
          <w:b w:val="false"/>
          <w:bCs w:val="false"/>
          <w:i w:val="false"/>
          <w:iCs w:val="false"/>
          <w:color w:val="000000"/>
          <w:sz w:val="19"/>
          <w:szCs w:val="19"/>
        </w:rPr>
        <w:t xml:space="preserve">　本章はサービス見込量の推計（7-1）・介護給付費の見込み（7-2）・介護保険料の試算（7-3）の3節で構成。見込量は6ステップ算定、保険料は8ステップ算定で、川崎町固有の補正要素（住所地特例・移動支援3層構造影響・ユニバーサルサポーター効果等）を組み込みます。</w:t>
      </w:r>
    </w:p>
    <w:p>
      <w:pPr>
        <w:pBdr>
          <w:bottom w:val="single" w:color="0F4F73" w:sz="4"/>
        </w:pBdr>
        <w:shd w:fill="D6E4F0" w:val="solid"/>
        <w:spacing w:after="100" w:before="240" w:line="300"/>
      </w:pPr>
      <w:r>
        <w:rPr>
          <w:rFonts w:ascii="游ゴシック" w:cs="游ゴシック" w:eastAsia="游ゴシック" w:hAnsi="游ゴシック"/>
          <w:b/>
          <w:bCs/>
          <w:i w:val="false"/>
          <w:iCs w:val="false"/>
          <w:color w:val="0F4F73"/>
          <w:sz w:val="22"/>
          <w:szCs w:val="22"/>
        </w:rPr>
        <w:t xml:space="preserve">　▌ サービス見込量算定の6ステップ</w:t>
      </w:r>
    </w:p>
    <w:p>
      <w:pPr>
        <w:spacing w:after="40" w:before="40" w:line="300"/>
        <w:ind w:left="431"/>
      </w:pPr>
      <w:r>
        <w:rPr>
          <w:rFonts w:ascii="游ゴシック" w:cs="游ゴシック" w:eastAsia="游ゴシック" w:hAnsi="游ゴシック"/>
          <w:b/>
          <w:bCs/>
          <w:i w:val="false"/>
          <w:iCs w:val="false"/>
          <w:color w:val="000000"/>
          <w:sz w:val="20"/>
          <w:szCs w:val="20"/>
        </w:rPr>
        <w:t xml:space="preserve">Step1　</w:t>
      </w:r>
      <w:r>
        <w:rPr>
          <w:rFonts w:ascii="游ゴシック" w:cs="游ゴシック" w:eastAsia="游ゴシック" w:hAnsi="游ゴシック"/>
          <w:b w:val="false"/>
          <w:bCs w:val="false"/>
          <w:i w:val="false"/>
          <w:iCs w:val="false"/>
          <w:color w:val="000000"/>
          <w:sz w:val="20"/>
          <w:szCs w:val="20"/>
        </w:rPr>
        <w:t xml:space="preserve">人口推計：社人研R5推計を基本に住民基本台帳との突合で補正</w:t>
      </w:r>
    </w:p>
    <w:p>
      <w:pPr>
        <w:spacing w:after="40" w:before="40" w:line="300"/>
        <w:ind w:left="431"/>
      </w:pPr>
      <w:r>
        <w:rPr>
          <w:rFonts w:ascii="游ゴシック" w:cs="游ゴシック" w:eastAsia="游ゴシック" w:hAnsi="游ゴシック"/>
          <w:b/>
          <w:bCs/>
          <w:i w:val="false"/>
          <w:iCs w:val="false"/>
          <w:color w:val="000000"/>
          <w:sz w:val="20"/>
          <w:szCs w:val="20"/>
        </w:rPr>
        <w:t xml:space="preserve">Step2　</w:t>
      </w:r>
      <w:r>
        <w:rPr>
          <w:rFonts w:ascii="游ゴシック" w:cs="游ゴシック" w:eastAsia="游ゴシック" w:hAnsi="游ゴシック"/>
          <w:b w:val="false"/>
          <w:bCs w:val="false"/>
          <w:i w:val="false"/>
          <w:iCs w:val="false"/>
          <w:color w:val="000000"/>
          <w:sz w:val="20"/>
          <w:szCs w:val="20"/>
        </w:rPr>
        <w:t xml:space="preserve">認定者推計：性別・年齢階級別認定率を直近5年実績推移から算定</w:t>
      </w:r>
    </w:p>
    <w:p>
      <w:pPr>
        <w:spacing w:after="40" w:before="40" w:line="300"/>
        <w:ind w:left="431"/>
      </w:pPr>
      <w:r>
        <w:rPr>
          <w:rFonts w:ascii="游ゴシック" w:cs="游ゴシック" w:eastAsia="游ゴシック" w:hAnsi="游ゴシック"/>
          <w:b/>
          <w:bCs/>
          <w:i w:val="false"/>
          <w:iCs w:val="false"/>
          <w:color w:val="000000"/>
          <w:sz w:val="20"/>
          <w:szCs w:val="20"/>
        </w:rPr>
        <w:t xml:space="preserve">Step3　</w:t>
      </w:r>
      <w:r>
        <w:rPr>
          <w:rFonts w:ascii="游ゴシック" w:cs="游ゴシック" w:eastAsia="游ゴシック" w:hAnsi="游ゴシック"/>
          <w:b w:val="false"/>
          <w:bCs w:val="false"/>
          <w:i w:val="false"/>
          <w:iCs w:val="false"/>
          <w:color w:val="000000"/>
          <w:sz w:val="20"/>
          <w:szCs w:val="20"/>
        </w:rPr>
        <w:t xml:space="preserve">利用率：国保連データからサービス種別別の利用率を算定</w:t>
      </w:r>
    </w:p>
    <w:p>
      <w:pPr>
        <w:spacing w:after="40" w:before="40" w:line="300"/>
        <w:ind w:left="431"/>
      </w:pPr>
      <w:r>
        <w:rPr>
          <w:rFonts w:ascii="游ゴシック" w:cs="游ゴシック" w:eastAsia="游ゴシック" w:hAnsi="游ゴシック"/>
          <w:b/>
          <w:bCs/>
          <w:i w:val="false"/>
          <w:iCs w:val="false"/>
          <w:color w:val="000000"/>
          <w:sz w:val="20"/>
          <w:szCs w:val="20"/>
        </w:rPr>
        <w:t xml:space="preserve">Step4　</w:t>
      </w:r>
      <w:r>
        <w:rPr>
          <w:rFonts w:ascii="游ゴシック" w:cs="游ゴシック" w:eastAsia="游ゴシック" w:hAnsi="游ゴシック"/>
          <w:b w:val="false"/>
          <w:bCs w:val="false"/>
          <w:i w:val="false"/>
          <w:iCs w:val="false"/>
          <w:color w:val="000000"/>
          <w:sz w:val="20"/>
          <w:szCs w:val="20"/>
        </w:rPr>
        <w:t xml:space="preserve">1人当たり利用量：実績データから平均利用量を算定</w:t>
      </w:r>
    </w:p>
    <w:p>
      <w:pPr>
        <w:spacing w:after="40" w:before="40" w:line="300"/>
        <w:ind w:left="431"/>
      </w:pPr>
      <w:r>
        <w:rPr>
          <w:rFonts w:ascii="游ゴシック" w:cs="游ゴシック" w:eastAsia="游ゴシック" w:hAnsi="游ゴシック"/>
          <w:b/>
          <w:bCs/>
          <w:i w:val="false"/>
          <w:iCs w:val="false"/>
          <w:color w:val="000000"/>
          <w:sz w:val="20"/>
          <w:szCs w:val="20"/>
        </w:rPr>
        <w:t xml:space="preserve">Step5　</w:t>
      </w:r>
      <w:r>
        <w:rPr>
          <w:rFonts w:ascii="游ゴシック" w:cs="游ゴシック" w:eastAsia="游ゴシック" w:hAnsi="游ゴシック"/>
          <w:b w:val="false"/>
          <w:bCs w:val="false"/>
          <w:i w:val="false"/>
          <w:iCs w:val="false"/>
          <w:color w:val="000000"/>
          <w:sz w:val="20"/>
          <w:szCs w:val="20"/>
        </w:rPr>
        <w:t xml:space="preserve">アンケート補正：潜在ニーズを反映</w:t>
      </w:r>
    </w:p>
    <w:p>
      <w:pPr>
        <w:spacing w:after="40" w:before="40" w:line="300"/>
        <w:ind w:left="431"/>
      </w:pPr>
      <w:r>
        <w:rPr>
          <w:rFonts w:ascii="游ゴシック" w:cs="游ゴシック" w:eastAsia="游ゴシック" w:hAnsi="游ゴシック"/>
          <w:b/>
          <w:bCs/>
          <w:i w:val="false"/>
          <w:iCs w:val="false"/>
          <w:color w:val="000000"/>
          <w:sz w:val="20"/>
          <w:szCs w:val="20"/>
        </w:rPr>
        <w:t xml:space="preserve">Step6　</w:t>
      </w:r>
      <w:r>
        <w:rPr>
          <w:rFonts w:ascii="游ゴシック" w:cs="游ゴシック" w:eastAsia="游ゴシック" w:hAnsi="游ゴシック"/>
          <w:b w:val="false"/>
          <w:bCs w:val="false"/>
          <w:i w:val="false"/>
          <w:iCs w:val="false"/>
          <w:color w:val="000000"/>
          <w:sz w:val="20"/>
          <w:szCs w:val="20"/>
        </w:rPr>
        <w:t xml:space="preserve">見える化システム登録：仙南圏域比較で精緻化</w:t>
      </w:r>
    </w:p>
    <w:p>
      <w:pPr>
        <w:pBdr>
          <w:bottom w:val="single" w:color="0F4F73" w:sz="4"/>
        </w:pBdr>
        <w:shd w:fill="D6E4F0" w:val="solid"/>
        <w:spacing w:after="100" w:before="240" w:line="300"/>
      </w:pPr>
      <w:r>
        <w:rPr>
          <w:rFonts w:ascii="游ゴシック" w:cs="游ゴシック" w:eastAsia="游ゴシック" w:hAnsi="游ゴシック"/>
          <w:b/>
          <w:bCs/>
          <w:i w:val="false"/>
          <w:iCs w:val="false"/>
          <w:color w:val="0F4F73"/>
          <w:sz w:val="22"/>
          <w:szCs w:val="22"/>
        </w:rPr>
        <w:t xml:space="preserve">　▌ 保険料試算3パターン（協議事項5）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パターン</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基金取崩方針</w:t>
            </w:r>
          </w:p>
        </w:tc>
        <w:tc>
          <w:tcPr>
            <w:tcW w:type="pct" w:w="4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特徴</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月額イメージ</w:t>
            </w:r>
          </w:p>
        </w:tc>
      </w:tr>
      <w:tr>
        <w:tc>
          <w:tcPr>
            <w:shd w:fill="D6E4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取崩なし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基金温存・第11期負担緩和・給付費増を保険料に直接反映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最高水準</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50%取崩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給付費増を一部相殺・次期負担との均衡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中位水準</w:t>
            </w:r>
          </w:p>
        </w:tc>
      </w:tr>
      <w:tr>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全額取崩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住民負担最小化・第11期負担増のリスクあり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最低水準</w:t>
            </w:r>
          </w:p>
        </w:tc>
      </w:tr>
    </w:tbl>
    <w:p>
      <w:pPr>
        <w:pBdr>
          <w:bottom w:val="single" w:color="0F4F73" w:sz="4"/>
        </w:pBdr>
        <w:shd w:fill="D6E4F0" w:val="solid"/>
        <w:spacing w:after="100" w:before="240" w:line="300"/>
      </w:pPr>
      <w:r>
        <w:rPr>
          <w:rFonts w:ascii="游ゴシック" w:cs="游ゴシック" w:eastAsia="游ゴシック" w:hAnsi="游ゴシック"/>
          <w:b/>
          <w:bCs/>
          <w:i w:val="false"/>
          <w:iCs w:val="false"/>
          <w:color w:val="0F4F73"/>
          <w:sz w:val="22"/>
          <w:szCs w:val="22"/>
        </w:rPr>
        <w:t xml:space="preserve">　▌ 介護保険料の推移と第10期試算</w:t>
      </w: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図3　介護保険料月額基準額の推移（第8期6,380円→第9期6,500円・第10期は3パターン試算）</w:t>
      </w:r>
    </w:p>
    <w:p>
      <w:pPr>
        <w:pBdr>
          <w:top w:val="single" w:color="ED7D31" w:sz="12"/>
          <w:bottom w:val="single" w:color="ED7D31" w:sz="12"/>
        </w:pBdr>
        <w:shd w:fill="FCE4D6" w:val="solid"/>
        <w:spacing w:after="200" w:before="200"/>
      </w:pPr>
      <w:r>
        <w:rPr>
          <w:rFonts w:ascii="游ゴシック" w:cs="游ゴシック" w:eastAsia="游ゴシック" w:hAnsi="游ゴシック"/>
          <w:b/>
          <w:bCs/>
          <w:i w:val="false"/>
          <w:iCs w:val="false"/>
          <w:color w:val="ED7D31"/>
          <w:sz w:val="20"/>
          <w:szCs w:val="20"/>
        </w:rPr>
        <w:t xml:space="preserve">【川崎町固有】 </w:t>
      </w:r>
      <w:r>
        <w:rPr>
          <w:rFonts w:ascii="游ゴシック" w:cs="游ゴシック" w:eastAsia="游ゴシック" w:hAnsi="游ゴシック"/>
          <w:b/>
          <w:bCs/>
          <w:i w:val="false"/>
          <w:iCs w:val="false"/>
          <w:color w:val="1F3864"/>
          <w:sz w:val="20"/>
          <w:szCs w:val="20"/>
        </w:rPr>
        <w:t xml:space="preserve">所得段階区分の9→13段階見直し
　</w:t>
      </w:r>
      <w:r>
        <w:rPr>
          <w:rFonts w:ascii="游ゴシック" w:cs="游ゴシック" w:eastAsia="游ゴシック" w:hAnsi="游ゴシック"/>
          <w:b w:val="false"/>
          <w:bCs w:val="false"/>
          <w:i w:val="false"/>
          <w:iCs w:val="false"/>
          <w:color w:val="000000"/>
          <w:sz w:val="19"/>
          <w:szCs w:val="19"/>
        </w:rPr>
        <w:t xml:space="preserve">国推奨の13段階化を検討します。低所得層（第1〜3段階）約30%の負担軽減、高所得層への応分負担拡大が見込まれます。具体的影響額は第3回策定委員会（R9.1中旬）で精緻化し協議します。</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404040" w:sz="18"/>
          <w:bottom w:val="double" w:color="404040" w:sz="18"/>
        </w:pBdr>
        <w:shd w:fill="E2E8F0" w:val="solid"/>
        <w:spacing w:after="240" w:before="240" w:line="360"/>
        <w:jc w:val="center"/>
      </w:pPr>
      <w:r>
        <w:rPr>
          <w:rFonts w:ascii="游ゴシック" w:cs="游ゴシック" w:eastAsia="游ゴシック" w:hAnsi="游ゴシック"/>
          <w:b/>
          <w:bCs/>
          <w:i w:val="false"/>
          <w:iCs w:val="false"/>
          <w:color w:val="404040"/>
          <w:sz w:val="28"/>
          <w:szCs w:val="28"/>
        </w:rPr>
        <w:t xml:space="preserve">第8章　</w:t>
      </w:r>
      <w:r>
        <w:rPr>
          <w:rFonts w:ascii="游ゴシック" w:cs="游ゴシック" w:eastAsia="游ゴシック" w:hAnsi="游ゴシック"/>
          <w:b/>
          <w:bCs/>
          <w:i w:val="false"/>
          <w:iCs w:val="false"/>
          <w:color w:val="404040"/>
          <w:sz w:val="28"/>
          <w:szCs w:val="28"/>
        </w:rPr>
        <w:t xml:space="preserve">計画の推進体制と評価</w:t>
      </w:r>
    </w:p>
    <w:p>
      <w:pPr>
        <w:pBdr>
          <w:top w:val="single" w:color="1F3864" w:sz="12"/>
        </w:pBdr>
        <w:shd w:fill="DAE3F3" w:val="solid"/>
        <w:spacing w:after="0" w:before="200"/>
      </w:pPr>
      <w:r>
        <w:rPr>
          <w:rFonts w:ascii="游ゴシック" w:cs="游ゴシック" w:eastAsia="游ゴシック" w:hAnsi="游ゴシック"/>
          <w:b/>
          <w:bCs/>
          <w:i w:val="false"/>
          <w:iCs w:val="false"/>
          <w:color w:val="1F3864"/>
          <w:sz w:val="22"/>
          <w:szCs w:val="22"/>
        </w:rPr>
        <w:t xml:space="preserve">◆ 推進体制</w:t>
      </w:r>
    </w:p>
    <w:p>
      <w:pPr>
        <w:pBdr>
          <w:bottom w:val="single" w:color="1F3864" w:sz="4"/>
        </w:pBdr>
        <w:shd w:fill="FAFAFA" w:val="solid"/>
        <w:spacing w:after="200" w:before="0"/>
      </w:pPr>
      <w:r>
        <w:rPr>
          <w:rFonts w:ascii="游ゴシック" w:cs="游ゴシック" w:eastAsia="游ゴシック" w:hAnsi="游ゴシック"/>
          <w:b w:val="false"/>
          <w:bCs w:val="false"/>
          <w:i w:val="false"/>
          <w:iCs w:val="false"/>
          <w:color w:val="000000"/>
          <w:sz w:val="19"/>
          <w:szCs w:val="19"/>
        </w:rPr>
        <w:t xml:space="preserve">　本計画は川崎町保健福祉課（介護保険係）を主担当課とし、町関係課（地域振興課・町民生活課・財政課等）と地域包括支援センター・国民健康保険川崎病院・川崎町社会福祉協議会・民生委員・ユニバーサルサポーター・広域連携先（みやぎ県南中核病院・刈田綜合病院等）の連携のもとに推進します。</w:t>
      </w:r>
    </w:p>
    <w:p>
      <w:pPr>
        <w:pBdr>
          <w:top w:val="single" w:color="1F3864" w:sz="12"/>
        </w:pBdr>
        <w:shd w:fill="DAE3F3" w:val="solid"/>
        <w:spacing w:after="0" w:before="200"/>
      </w:pPr>
      <w:r>
        <w:rPr>
          <w:rFonts w:ascii="游ゴシック" w:cs="游ゴシック" w:eastAsia="游ゴシック" w:hAnsi="游ゴシック"/>
          <w:b/>
          <w:bCs/>
          <w:i w:val="false"/>
          <w:iCs w:val="false"/>
          <w:color w:val="1F3864"/>
          <w:sz w:val="22"/>
          <w:szCs w:val="22"/>
        </w:rPr>
        <w:t xml:space="preserve">◆ PDCAサイクル</w:t>
      </w:r>
    </w:p>
    <w:p>
      <w:pPr>
        <w:pBdr>
          <w:bottom w:val="single" w:color="1F3864" w:sz="4"/>
        </w:pBdr>
        <w:shd w:fill="FAFAFA" w:val="solid"/>
        <w:spacing w:after="200" w:before="0"/>
      </w:pPr>
      <w:r>
        <w:rPr>
          <w:rFonts w:ascii="游ゴシック" w:cs="游ゴシック" w:eastAsia="游ゴシック" w:hAnsi="游ゴシック"/>
          <w:b w:val="false"/>
          <w:bCs w:val="false"/>
          <w:i w:val="false"/>
          <w:iCs w:val="false"/>
          <w:color w:val="000000"/>
          <w:sz w:val="19"/>
          <w:szCs w:val="19"/>
        </w:rPr>
        <w:t xml:space="preserve">　毎年度のPlan-Do-Check-Actionサイクルで進捗確認。中間評価（令和10年度）と最終評価（令和11年度末）で計画見直し要否を検討。最終評価は第11期計画策定の引継ぎ材料とします。</w:t>
      </w:r>
    </w:p>
    <w:p>
      <w:pPr>
        <w:pBdr>
          <w:top w:val="single" w:color="1F3864" w:sz="12"/>
        </w:pBdr>
        <w:shd w:fill="DAE3F3" w:val="solid"/>
        <w:spacing w:after="0" w:before="200"/>
      </w:pPr>
      <w:r>
        <w:rPr>
          <w:rFonts w:ascii="游ゴシック" w:cs="游ゴシック" w:eastAsia="游ゴシック" w:hAnsi="游ゴシック"/>
          <w:b/>
          <w:bCs/>
          <w:i w:val="false"/>
          <w:iCs w:val="false"/>
          <w:color w:val="1F3864"/>
          <w:sz w:val="22"/>
          <w:szCs w:val="22"/>
        </w:rPr>
        <w:t xml:space="preserve">◆ KPI評価の3階層</w:t>
      </w:r>
    </w:p>
    <w:p>
      <w:pPr>
        <w:pBdr>
          <w:bottom w:val="single" w:color="1F3864" w:sz="4"/>
        </w:pBdr>
        <w:shd w:fill="FAFAFA" w:val="solid"/>
        <w:spacing w:after="200" w:before="0"/>
      </w:pPr>
      <w:r>
        <w:rPr>
          <w:rFonts w:ascii="游ゴシック" w:cs="游ゴシック" w:eastAsia="游ゴシック" w:hAnsi="游ゴシック"/>
          <w:b w:val="false"/>
          <w:bCs w:val="false"/>
          <w:i w:val="false"/>
          <w:iCs w:val="false"/>
          <w:color w:val="000000"/>
          <w:sz w:val="19"/>
          <w:szCs w:val="19"/>
        </w:rPr>
        <w:t xml:space="preserve">　施策レベル（5基本目標×各重点施策）・事業レベル（個別事業の実施回数・対象者数等）・KPIレベル（数値目標の達成度）の3階層で評価。認知症施策は3層KPI（プロセス・アウトプット・アウトカム）。</w:t>
      </w:r>
    </w:p>
    <w:p>
      <w:pPr>
        <w:pBdr>
          <w:top w:val="single" w:color="1F3864" w:sz="12"/>
        </w:pBdr>
        <w:shd w:fill="DAE3F3" w:val="solid"/>
        <w:spacing w:after="0" w:before="200"/>
      </w:pPr>
      <w:r>
        <w:rPr>
          <w:rFonts w:ascii="游ゴシック" w:cs="游ゴシック" w:eastAsia="游ゴシック" w:hAnsi="游ゴシック"/>
          <w:b/>
          <w:bCs/>
          <w:i w:val="false"/>
          <w:iCs w:val="false"/>
          <w:color w:val="1F3864"/>
          <w:sz w:val="22"/>
          <w:szCs w:val="22"/>
        </w:rPr>
        <w:t xml:space="preserve">◆ 情報公開と住民参画</w:t>
      </w:r>
    </w:p>
    <w:p>
      <w:pPr>
        <w:pBdr>
          <w:bottom w:val="single" w:color="1F3864" w:sz="4"/>
        </w:pBdr>
        <w:shd w:fill="FAFAFA" w:val="solid"/>
        <w:spacing w:after="200" w:before="0"/>
      </w:pPr>
      <w:r>
        <w:rPr>
          <w:rFonts w:ascii="游ゴシック" w:cs="游ゴシック" w:eastAsia="游ゴシック" w:hAnsi="游ゴシック"/>
          <w:b w:val="false"/>
          <w:bCs w:val="false"/>
          <w:i w:val="false"/>
          <w:iCs w:val="false"/>
          <w:color w:val="000000"/>
          <w:sz w:val="19"/>
          <w:szCs w:val="19"/>
        </w:rPr>
        <w:t xml:space="preserve">　計画進捗状況は毎年度町ホームページで公表。中間評価・最終評価結果も公表。本委員会の後継機関（仮称：高齢者保健福祉計画推進委員会）で継続的に審議。</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bottom w:val="single" w:color="404040" w:sz="4"/>
        </w:pBdr>
        <w:shd w:fill="E2E8F0" w:val="solid"/>
        <w:spacing w:after="100" w:before="240" w:line="300"/>
      </w:pPr>
      <w:r>
        <w:rPr>
          <w:rFonts w:ascii="游ゴシック" w:cs="游ゴシック" w:eastAsia="游ゴシック" w:hAnsi="游ゴシック"/>
          <w:b/>
          <w:bCs/>
          <w:i w:val="false"/>
          <w:iCs w:val="false"/>
          <w:color w:val="404040"/>
          <w:sz w:val="22"/>
          <w:szCs w:val="22"/>
        </w:rPr>
        <w:t xml:space="preserve">　▌ 別添資料一覧（事前配布資料）</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・計画素案v1.5（全43頁・8章構成）── 本概要版の元データ</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・第1回策定委員会資料（全12頁）── アンケート結果報告と協議事項</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・3層整合表（国基本指針→宮城県計画→川崎町計画）</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・第9期実績一覧（町記入用フォーマット）</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・アンケート集計分析テンプレート</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top w:val="double" w:color="1F3864" w:sz="18"/>
          <w:bottom w:val="double" w:color="1F3864" w:sz="18"/>
        </w:pBdr>
        <w:shd w:fill="DAE3F3" w:val="solid"/>
        <w:spacing w:after="240" w:before="240"/>
        <w:jc w:val="center"/>
      </w:pPr>
      <w:r>
        <w:rPr>
          <w:rFonts w:ascii="游ゴシック" w:cs="游ゴシック" w:eastAsia="游ゴシック" w:hAnsi="游ゴシック"/>
          <w:b/>
          <w:bCs/>
          <w:i w:val="false"/>
          <w:iCs w:val="false"/>
          <w:color w:val="1F3864"/>
          <w:sz w:val="22"/>
          <w:szCs w:val="22"/>
        </w:rPr>
        <w:t xml:space="preserve">第1回策定委員会では、本概要版と別添資料をもとに、5つの協議事項についてご審議いただきます。委員の皆様のご意見を計画素案Ver.2.0に反映いたします。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川崎町第10期介護保険事業計画 概要版（委員事前配布資料）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908537ad6af085f924a88cd75159a469dfe3ae.undefined"/><Relationship Id="rId10" Type="http://schemas.openxmlformats.org/officeDocument/2006/relationships/image" Target="media/5a962bfacd77afd36ebbbec2150668990cd47f90.undefined"/><Relationship Id="rId11" Type="http://schemas.openxmlformats.org/officeDocument/2006/relationships/image" Target="media/60135321dc38607023c12bbad6e739ab163ab04a.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 第10期計画 概要版</dc:title>
  <dc:creator>ビズアップ公共コンサルティング株式会社</dc:creator>
  <dc:description>委員事前配布用 計画概要版</dc:description>
  <cp:lastModifiedBy>Un-named</cp:lastModifiedBy>
  <cp:revision>1</cp:revision>
  <dcterms:created xsi:type="dcterms:W3CDTF">2026-06-29T03:26:37.927Z</dcterms:created>
  <dcterms:modified xsi:type="dcterms:W3CDTF">2026-06-29T03:26:37.927Z</dcterms:modified>
</cp:coreProperties>
</file>

<file path=docProps/custom.xml><?xml version="1.0" encoding="utf-8"?>
<Properties xmlns="http://schemas.openxmlformats.org/officeDocument/2006/custom-properties" xmlns:vt="http://schemas.openxmlformats.org/officeDocument/2006/docPropsVTypes"/>
</file>