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76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11件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11件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21件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22件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6件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32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82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32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82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サービスの見込量を確定するために要るもの（11件）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32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82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高齢者福祉の施策との接続（21件）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3200" w:type="dxa"/>
          </w:tcPr>
          <w:p>
            <w:pPr>
              <w:spacing w:after="0"/>
            </w:pPr>
            <w:r>
              <w:rPr>
                <w:rFonts w:ascii="BIZ UDPゴシック" w:hAnsi="BIZ UDPゴシック" w:eastAsia="BIZ UDPゴシック" w:cs="BIZ UDPゴシック"/>
                <w:b w:val="0"/>
                <w:sz w:val="19"/>
              </w:rPr>
              <w:t>成果品の印刷・製本の所要日数と発注の形</w:t>
            </w:r>
          </w:p>
        </w:tc>
        <w:tc>
          <w:tcPr>
            <w:tcW w:w="82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19日までに確定させる必要があります。なお、目次の更新（Ｗｏｒｄの目次フィールドの更新）は当方の環境では行えないため、他メンバー又は村にお願いすることになります。その時期も２月19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既にある施策の実績（22件）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32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82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32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82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