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155頁あり、分量の制約を置いていない（別冊155頁）。このうち5-12「据え置いている項目の一覧」と編集注記（⚙）を除いた計画書は134頁である。公表する計画書はこれとは別に、第9期計画の目次体系を踏襲して組んでいる。指針・通達・法令による追加のみを加えた結果、分量の削減案を行わない場合は122頁で、村が許容する115頁を7頁上回る。削減案A〜Eを行うと114頁、さらにH・Jを行うと111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2026-10-21T04:38:49.813Z</dcterms:created>
  <dcterms:modified xsi:type="dcterms:W3CDTF">2026-10-21T04:38:49.813Z</dcterms:modified>
</cp:coreProperties>
</file>

<file path=docProps/custom.xml><?xml version="1.0" encoding="utf-8"?>
<Properties xmlns="http://schemas.openxmlformats.org/officeDocument/2006/custom-properties" xmlns:vt="http://schemas.openxmlformats.org/officeDocument/2006/docPropsVTypes"/>
</file>