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　総論　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　総論　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val="0"/>
                <w:i w:val="0"/>
                <w:sz w:val="17"/>
              </w:rPr>
              <w:t>障害者総合支援法第88条第5項・児童福祉法第33条の20第5項</w:t>
            </w:r>
          </w:p>
        </w:tc>
        <w:tc>
          <w:tcPr>
            <w:tcW w:type="dxa" w:w="3969"/>
            <w:vAlign w:val="center"/>
          </w:tcPr>
          <w:p>
            <w:pPr>
              <w:spacing w:before="20" w:after="20"/>
            </w:pPr>
            <w:r>
              <w:rPr>
                <w:rFonts w:ascii="游ゴシック" w:hAnsi="游ゴシック" w:eastAsia="游ゴシック"/>
                <w:b/>
                <w:i w:val="0"/>
                <w:sz w:val="17"/>
              </w:rPr>
              <w:t>障害者基本計画（市町村障害者計画）と調和が保たれたもの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　総論　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　総論　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障害者総合支援法第88条第5項及び児童福祉法第33条の20第5項は、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条項の番号は、現行条文の全文で確かめたうえで本文に入れます</w:t>
      </w:r>
      <w:r>
        <w:rPr>
          <w:rFonts w:ascii="游ゴシック" w:hAnsi="游ゴシック" w:eastAsia="游ゴシック"/>
          <w:b w:val="0"/>
          <w:i w:val="0"/>
          <w:sz w:val="17"/>
        </w:rPr>
        <w:t>（改正により項の繰り下がりが生じないことは確認済み）。</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　総論　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　総論　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　総論　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　総論　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　総論　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本町の障がい者手帳の所持者数は、次のとおりです。</w:t>
      </w:r>
    </w:p>
    <w:p>
      <w:pPr>
        <w:keepNext/>
        <w:spacing w:before="200" w:after="40"/>
      </w:pPr>
      <w:r>
        <w:rPr>
          <w:rFonts w:ascii="游ゴシック" w:hAnsi="游ゴシック" w:eastAsia="游ゴシック"/>
          <w:b/>
          <w:i w:val="0"/>
          <w:color w:val="1F4D78"/>
          <w:sz w:val="22"/>
        </w:rPr>
        <w:t>【表10】第1部　総論　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2041"/>
        <w:gridCol w:w="2041"/>
        <w:gridCol w:w="226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3402"/>
            <w:vAlign w:val="center"/>
          </w:tcPr>
          <w:p>
            <w:pPr>
              <w:spacing w:before="20" w:after="20"/>
            </w:pPr>
            <w:r>
              <w:rPr>
                <w:rFonts w:ascii="游ゴシック" w:hAnsi="游ゴシック" w:eastAsia="游ゴシック"/>
                <w:b w:val="0"/>
                <w:i w:val="0"/>
                <w:sz w:val="17"/>
              </w:rPr>
              <w:t>身体障害者手帳</w:t>
            </w:r>
          </w:p>
        </w:tc>
        <w:tc>
          <w:tcPr>
            <w:tcW w:type="dxa" w:w="2041"/>
            <w:vAlign w:val="center"/>
          </w:tcPr>
          <w:p>
            <w:pPr>
              <w:spacing w:before="20" w:after="20"/>
              <w:jc w:val="right"/>
            </w:pPr>
            <w:r>
              <w:rPr>
                <w:rFonts w:ascii="游ゴシック" w:hAnsi="游ゴシック" w:eastAsia="游ゴシック"/>
                <w:b w:val="0"/>
                <w:i w:val="0"/>
                <w:sz w:val="17"/>
              </w:rPr>
              <w:t>412人</w:t>
            </w:r>
          </w:p>
        </w:tc>
        <w:tc>
          <w:tcPr>
            <w:tcW w:type="dxa" w:w="2041"/>
            <w:vAlign w:val="center"/>
          </w:tcPr>
          <w:p>
            <w:pPr>
              <w:spacing w:before="20" w:after="20"/>
              <w:jc w:val="right"/>
            </w:pPr>
            <w:r>
              <w:rPr>
                <w:rFonts w:ascii="游ゴシック" w:hAnsi="游ゴシック" w:eastAsia="游ゴシック"/>
                <w:b w:val="0"/>
                <w:i w:val="0"/>
                <w:sz w:val="17"/>
              </w:rPr>
              <w:t>372人</w:t>
            </w:r>
          </w:p>
        </w:tc>
        <w:tc>
          <w:tcPr>
            <w:tcW w:type="dxa" w:w="2268"/>
            <w:vAlign w:val="center"/>
          </w:tcPr>
          <w:p>
            <w:pPr>
              <w:spacing w:before="20" w:after="20"/>
              <w:jc w:val="right"/>
            </w:pPr>
            <w:r>
              <w:rPr>
                <w:rFonts w:ascii="游ゴシック" w:hAnsi="游ゴシック" w:eastAsia="游ゴシック"/>
                <w:b w:val="0"/>
                <w:i w:val="0"/>
                <w:sz w:val="17"/>
              </w:rPr>
              <w:t>▲9.7％</w:t>
            </w:r>
          </w:p>
        </w:tc>
      </w:tr>
      <w:tr>
        <w:tc>
          <w:tcPr>
            <w:tcW w:type="dxa" w:w="3402"/>
            <w:vAlign w:val="center"/>
          </w:tcPr>
          <w:p>
            <w:pPr>
              <w:spacing w:before="20" w:after="20"/>
            </w:pPr>
            <w:r>
              <w:rPr>
                <w:rFonts w:ascii="游ゴシック" w:hAnsi="游ゴシック" w:eastAsia="游ゴシック"/>
                <w:b w:val="0"/>
                <w:i w:val="0"/>
                <w:sz w:val="17"/>
              </w:rPr>
              <w:t>療育手帳</w:t>
            </w:r>
          </w:p>
        </w:tc>
        <w:tc>
          <w:tcPr>
            <w:tcW w:type="dxa" w:w="2041"/>
            <w:vAlign w:val="center"/>
          </w:tcPr>
          <w:p>
            <w:pPr>
              <w:spacing w:before="20" w:after="20"/>
              <w:jc w:val="right"/>
            </w:pPr>
            <w:r>
              <w:rPr>
                <w:rFonts w:ascii="游ゴシック" w:hAnsi="游ゴシック" w:eastAsia="游ゴシック"/>
                <w:b w:val="0"/>
                <w:i w:val="0"/>
                <w:sz w:val="17"/>
              </w:rPr>
              <w:t>82人</w:t>
            </w:r>
          </w:p>
        </w:tc>
        <w:tc>
          <w:tcPr>
            <w:tcW w:type="dxa" w:w="2041"/>
            <w:vAlign w:val="center"/>
          </w:tcPr>
          <w:p>
            <w:pPr>
              <w:spacing w:before="20" w:after="20"/>
              <w:jc w:val="right"/>
            </w:pPr>
            <w:r>
              <w:rPr>
                <w:rFonts w:ascii="游ゴシック" w:hAnsi="游ゴシック" w:eastAsia="游ゴシック"/>
                <w:b w:val="0"/>
                <w:i w:val="0"/>
                <w:sz w:val="17"/>
              </w:rPr>
              <w:t>74人</w:t>
            </w:r>
          </w:p>
        </w:tc>
        <w:tc>
          <w:tcPr>
            <w:tcW w:type="dxa" w:w="2268"/>
            <w:vAlign w:val="center"/>
          </w:tcPr>
          <w:p>
            <w:pPr>
              <w:spacing w:before="20" w:after="20"/>
              <w:jc w:val="right"/>
            </w:pPr>
            <w:r>
              <w:rPr>
                <w:rFonts w:ascii="游ゴシック" w:hAnsi="游ゴシック" w:eastAsia="游ゴシック"/>
                <w:b w:val="0"/>
                <w:i w:val="0"/>
                <w:sz w:val="17"/>
              </w:rPr>
              <w:t>▲9.8％</w:t>
            </w:r>
          </w:p>
        </w:tc>
      </w:tr>
      <w:tr>
        <w:tc>
          <w:tcPr>
            <w:tcW w:type="dxa" w:w="3402"/>
            <w:vAlign w:val="center"/>
          </w:tcPr>
          <w:p>
            <w:pPr>
              <w:keepNext/>
              <w:spacing w:before="20" w:after="20"/>
            </w:pPr>
            <w:r>
              <w:rPr>
                <w:rFonts w:ascii="游ゴシック" w:hAnsi="游ゴシック" w:eastAsia="游ゴシック"/>
                <w:b w:val="0"/>
                <w:i w:val="0"/>
                <w:sz w:val="17"/>
              </w:rPr>
              <w:t>精神障害者保健福祉手帳</w:t>
            </w:r>
          </w:p>
        </w:tc>
        <w:tc>
          <w:tcPr>
            <w:tcW w:type="dxa" w:w="2041"/>
            <w:vAlign w:val="center"/>
          </w:tcPr>
          <w:p>
            <w:pPr>
              <w:keepNext/>
              <w:spacing w:before="20" w:after="20"/>
              <w:jc w:val="right"/>
            </w:pPr>
            <w:r>
              <w:rPr>
                <w:rFonts w:ascii="游ゴシック" w:hAnsi="游ゴシック" w:eastAsia="游ゴシック"/>
                <w:b w:val="0"/>
                <w:i w:val="0"/>
                <w:sz w:val="17"/>
              </w:rPr>
              <w:t>45人</w:t>
            </w:r>
          </w:p>
        </w:tc>
        <w:tc>
          <w:tcPr>
            <w:tcW w:type="dxa" w:w="2041"/>
            <w:vAlign w:val="center"/>
          </w:tcPr>
          <w:p>
            <w:pPr>
              <w:keepNext/>
              <w:spacing w:before="20" w:after="20"/>
              <w:jc w:val="right"/>
            </w:pPr>
            <w:r>
              <w:rPr>
                <w:rFonts w:ascii="游ゴシック" w:hAnsi="游ゴシック" w:eastAsia="游ゴシック"/>
                <w:b w:val="0"/>
                <w:i w:val="0"/>
                <w:sz w:val="17"/>
              </w:rPr>
              <w:t>62人</w:t>
            </w:r>
          </w:p>
        </w:tc>
        <w:tc>
          <w:tcPr>
            <w:tcW w:type="dxa" w:w="2268"/>
            <w:vAlign w:val="center"/>
          </w:tcPr>
          <w:p>
            <w:pPr>
              <w:keepNext/>
              <w:spacing w:before="20" w:after="20"/>
              <w:jc w:val="right"/>
            </w:pPr>
            <w:r>
              <w:rPr>
                <w:rFonts w:ascii="游ゴシック" w:hAnsi="游ゴシック" w:eastAsia="游ゴシック"/>
                <w:b w:val="0"/>
                <w:i w:val="0"/>
                <w:sz w:val="17"/>
              </w:rPr>
              <w:t>＋37.8％</w:t>
            </w:r>
          </w:p>
        </w:tc>
      </w:tr>
      <w:tr>
        <w:tc>
          <w:tcPr>
            <w:tcW w:type="dxa" w:w="3402"/>
            <w:vAlign w:val="center"/>
          </w:tcPr>
          <w:p>
            <w:pPr>
              <w:spacing w:before="20" w:after="20"/>
            </w:pPr>
            <w:r>
              <w:rPr>
                <w:rFonts w:ascii="游ゴシック" w:hAnsi="游ゴシック" w:eastAsia="游ゴシック"/>
                <w:b/>
                <w:i w:val="0"/>
                <w:sz w:val="17"/>
              </w:rPr>
              <w:t>合計</w:t>
            </w:r>
          </w:p>
        </w:tc>
        <w:tc>
          <w:tcPr>
            <w:tcW w:type="dxa" w:w="2041"/>
            <w:vAlign w:val="center"/>
          </w:tcPr>
          <w:p>
            <w:pPr>
              <w:spacing w:before="20" w:after="20"/>
              <w:jc w:val="right"/>
            </w:pPr>
            <w:r>
              <w:rPr>
                <w:rFonts w:ascii="游ゴシック" w:hAnsi="游ゴシック" w:eastAsia="游ゴシック"/>
                <w:b/>
                <w:i w:val="0"/>
                <w:sz w:val="17"/>
              </w:rPr>
              <w:t>539人</w:t>
            </w:r>
          </w:p>
        </w:tc>
        <w:tc>
          <w:tcPr>
            <w:tcW w:type="dxa" w:w="2041"/>
            <w:vAlign w:val="center"/>
          </w:tcPr>
          <w:p>
            <w:pPr>
              <w:spacing w:before="20" w:after="20"/>
              <w:jc w:val="right"/>
            </w:pPr>
            <w:r>
              <w:rPr>
                <w:rFonts w:ascii="游ゴシック" w:hAnsi="游ゴシック" w:eastAsia="游ゴシック"/>
                <w:b/>
                <w:i w:val="0"/>
                <w:sz w:val="17"/>
              </w:rPr>
              <w:t>508人</w:t>
            </w:r>
          </w:p>
        </w:tc>
        <w:tc>
          <w:tcPr>
            <w:tcW w:type="dxa" w:w="2268"/>
            <w:vAlign w:val="center"/>
          </w:tcPr>
          <w:p>
            <w:pPr>
              <w:spacing w:before="20" w:after="20"/>
              <w:jc w:val="right"/>
            </w:pPr>
            <w:r>
              <w:rPr>
                <w:rFonts w:ascii="游ゴシック" w:hAnsi="游ゴシック" w:eastAsia="游ゴシック"/>
                <w:b/>
                <w:i w:val="0"/>
                <w:sz w:val="17"/>
              </w:rPr>
              <w:t>▲5.8％</w:t>
            </w:r>
          </w:p>
        </w:tc>
      </w:tr>
    </w:tbl>
    <w:p>
      <w:pPr>
        <w:spacing w:after="40"/>
      </w:pPr>
    </w:p>
    <w:p>
      <w:pPr>
        <w:spacing w:after="120"/>
      </w:pPr>
    </w:p>
    <w:p>
      <w:pPr>
        <w:spacing w:before="60" w:after="60"/>
      </w:pPr>
      <w:r>
        <w:rPr>
          <w:rFonts w:ascii="游ゴシック" w:hAnsi="游ゴシック" w:eastAsia="游ゴシック"/>
          <w:b/>
          <w:i w:val="0"/>
          <w:sz w:val="21"/>
        </w:rPr>
        <w:t>身体障害者手帳と療育手帳がそれぞれ約1割減る一方、精神障害者保健福祉手帳は37.8％増えています。</w:t>
      </w:r>
      <w:r>
        <w:rPr>
          <w:rFonts w:ascii="游ゴシック" w:hAnsi="游ゴシック" w:eastAsia="游ゴシック"/>
          <w:b/>
          <w:i w:val="0"/>
          <w:sz w:val="21"/>
        </w:rPr>
        <w:t>手帳の種類によって動きが逆です。</w:t>
      </w:r>
      <w:r>
        <w:rPr>
          <w:rFonts w:ascii="游ゴシック" w:hAnsi="游ゴシック" w:eastAsia="游ゴシック"/>
          <w:b w:val="0"/>
          <w:i w:val="0"/>
          <w:sz w:val="21"/>
        </w:rPr>
        <w:t>全体では2年間で31人（5.8％）の減少となっています。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val="0"/>
          <w:i w:val="0"/>
          <w:sz w:val="21"/>
        </w:rPr>
        <w:t>サービス種類別の見込量と実績の乖離及びその要因は【町データ待ち】です。</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val="0"/>
          <w:i w:val="0"/>
          <w:sz w:val="21"/>
        </w:rPr>
        <w:t>第2部の各分野の取組状況と課題を整理します。取組の実績は【町データ待ち】です。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【表11】第1部　総論　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【表12】第2部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意思決定支援を独立した節として位置づけます</w:t>
      </w:r>
      <w:r>
        <w:rPr>
          <w:rFonts w:ascii="游ゴシック" w:hAnsi="游ゴシック" w:eastAsia="游ゴシック"/>
          <w:b w:val="0"/>
          <w:i w:val="0"/>
          <w:sz w:val="21"/>
        </w:rPr>
        <w:t>（基本指針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【表13】第2部　おのまち障がい者計画　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（改正後の住宅セーフティネット法第81条第1項）の設置状況を確かめ、連携先として位置づけます（【町データ待ち】）。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【表14】第2部　おのまち障がい者計画　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w:t>
      </w:r>
      <w:r>
        <w:rPr>
          <w:rFonts w:ascii="游ゴシック" w:hAnsi="游ゴシック" w:eastAsia="游ゴシック"/>
          <w:b w:val="0"/>
          <w:i w:val="0"/>
          <w:sz w:val="21"/>
        </w:rPr>
        <w:t>が成立しています。</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【表15】第2部　おのまち障がい者計画　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【表16】第2部　おのまち障がい者計画　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を具体に書きます。外出目的の最多が受診であることは、移動支援（第3章2）と切り離せません。</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医療的ケア児等への支援を新たな節として置きます。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就労支援（第11条の3）・住居の確保（第11条の4）も新たに置かれています。成人期を含む構えで書きます</w:t>
      </w:r>
      <w:r>
        <w:rPr>
          <w:rFonts w:ascii="游ゴシック" w:hAnsi="游ゴシック" w:eastAsia="游ゴシック"/>
          <w:b w:val="0"/>
          <w:i w:val="0"/>
          <w:sz w:val="21"/>
        </w:rPr>
        <w:t>（第3部第1章⑧）。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【表17】第2部　おのまち障がい者計画　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を厚く書きます。短期入所・日中一時支援による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調査で最多に挙げられた事項であり、独立した節として置きます。</w:t>
      </w:r>
      <w:r>
        <w:rPr>
          <w:rFonts w:ascii="游ゴシック" w:hAnsi="游ゴシック" w:eastAsia="游ゴシック"/>
          <w:b w:val="0"/>
          <w:i w:val="0"/>
          <w:sz w:val="21"/>
        </w:rPr>
        <w:t>制度があっても知られていなければ使われません。</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高齢者保健福祉計画と同時に策定していることを活かし、両計画で同じ考え方を書きます</w:t>
      </w:r>
      <w:r>
        <w:rPr>
          <w:rFonts w:ascii="游ゴシック" w:hAnsi="游ゴシック" w:eastAsia="游ゴシック"/>
          <w:b w:val="0"/>
          <w:i w:val="0"/>
          <w:sz w:val="21"/>
        </w:rPr>
        <w:t>（第1部第1章4-2の1番）。</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【表18】第2部　おのまち障がい者計画　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18歳移行を見据えた進路支援を新たな節として置きます。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【表19】第2部　おのまち障がい者計画　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【表20】第2部　おのまち障がい者計画　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【表21】第2部　おのまち障がい者計画　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【表22】第3部　第8期障がい福祉計画・第4期障がい児福祉計画　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val="0"/>
                <w:i w:val="0"/>
                <w:sz w:val="17"/>
              </w:rPr>
              <w:t>令和4年度末26人を基準に設定</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就労支援（第11条の3）・住居の確保（第11条の4）も新たに置かれており、成人期を含めて書きます。</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【表23】第3部　第8期障がい福祉計画・第4期障がい児福祉計画　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【表24】第3部　第8期障がい福祉計画・第4期障がい児福祉計画　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【表25】第4部　計画の推進　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