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Ver.1.17</w:t>
      </w:r>
    </w:p>
    <w:p>
      <w:pPr>
        <w:spacing w:after="80" w:before="80"/>
        <w:jc w:val="center"/>
      </w:pPr>
      <w:r>
        <w:rPr>
          <w:rFonts w:ascii="游ゴシック" w:cs="游ゴシック" w:eastAsia="游ゴシック" w:hAnsi="游ゴシック"/>
          <w:b w:val="false"/>
          <w:bCs w:val="false"/>
          <w:i/>
          <w:iCs/>
          <w:sz w:val="18"/>
          <w:szCs w:val="18"/>
        </w:rPr>
        <w:t xml:space="preserve">（中長期推計・保険料算定表 反映版）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5-1．健康づくり・介護予防の推進（基本目標1）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5-2．高齢者が安心して暮らせるまちづくり（基本目標2）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5-3．在宅生活継続の支援（基本目標3）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5-4．介護サービスの質の確保と人材確保（基本目標4）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5-5．地域包括ケアシステムの深化（基本目標5）</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bl>
    <w:p>
      <w:pPr>
        <w:spacing w:after="80" w:before="80" w:line="280"/>
        <w:ind w:left="288"/>
      </w:pPr>
      <w:r>
        <w:rPr>
          <w:rFonts w:ascii="游ゴシック" w:cs="游ゴシック" w:eastAsia="游ゴシック" w:hAnsi="游ゴシック"/>
          <w:i/>
          <w:iCs/>
          <w:sz w:val="19"/>
          <w:szCs w:val="19"/>
        </w:rPr>
        <w:t xml:space="preserve">⚠ 頁番号は、本素案Ver.1.17の組版によるものです。図表の差替え・加筆により頁の割付けが動いた場合は、目次の頁番号も併せて更新します。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1.17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本版では、介護保険事業状況報告（年報・令和7年度）を基礎として算定したサービス見込量・給付費・保険料に、令和17年度及び令和22年度の中長期推計、記号別の保険料算定表並びに前提を動かした場合の幅を加えました。介護給付費準備基金の取崩方針と令和9年度の介護報酬改定を踏まえ、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共生社会の実現を推進するための認知症基本法第14条（市町村認知症施策推進計画）</w:t>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一般高齢者ニーズ調査（対象：65歳以上の高齢者1,000名）</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要支援・要介護認定者調査（対象：認定者300名）</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いずれも令和8年6月から7月にかけて郵送により実施しました。割合は、設問ごとに無回答を除いた有効回答数（n）を分母として算出しています。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対象・配布</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有効回答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組織的な活動への参加は限定的である一方、新たなグループ活動への参加意向は半数を超えています。ただし企画・運営（お世話役）として関わる意向は4割にとどまり、担い手の確保が課題です。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生きがいがある55.3％（n=519）。両者には強い関連（p＜0.001）</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家族・友人以外に相談できる相手が「いない」との回答は、世帯構成によって37.0％から43.5％の範囲にあり、統計的な有意差は認められませんでした。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施設等への入所の申込みを最も強く分けているのは、要介護度の重さよりも家族介護者の有無でした。家族・親族の介護が「ない」層では56.9％が申込済みであり、介護が「ある」層（13.5％）の4.2倍で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n=76。介護者の高齢化が進んでいる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在宅の要介護者では、施設入所の申込みを最も強く分けているのは要介護度ではなく家族介護者の有無である。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R7=550名累計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R7=73名累計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整備（令和8年9月1日提供の実績データでは令和6年度以降「整備」とされており、実態を確認中）、（2）認知症本人ミーティングの新規実施、（3）本人・家族の意見聴取（地域包括支援センター・国保川崎病院経由）、（4）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在宅の認定者のうち家族介護もサービス利用もない世帯が50件（36.2％）。家族介護者の不在は施設入所の申込みと強く関連している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4-2　基本目標</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第10期計画の基本目標</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考え方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介護予防を明示して継承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center"/>
            </w:pPr>
            <w:r>
              <w:rPr>
                <w:rFonts w:ascii="游ゴシック" w:cs="游ゴシック" w:eastAsia="游ゴシック" w:hAnsi="游ゴシック"/>
                <w:i w:val="false"/>
                <w:iCs w:val="false"/>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left"/>
            </w:pPr>
            <w:r>
              <w:rPr>
                <w:rFonts w:ascii="游ゴシック" w:cs="游ゴシック" w:eastAsia="游ゴシック" w:hAnsi="游ゴシック"/>
                <w:i w:val="false"/>
                <w:iCs w:val="false"/>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見守り・移動支援・住まいを含めて継承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在宅生活の継続という観点で再構成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i w:val="false"/>
                <w:iCs w:val="false"/>
                <w:sz w:val="18"/>
                <w:szCs w:val="18"/>
              </w:rPr>
              <w:t xml:space="preserve">目的別に配置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r>
          </w:p>
          <w:p>
            <w:pPr>
              <w:spacing w:after="40" w:before="40" w:line="260"/>
              <w:jc w:val="center"/>
            </w:pPr>
            <w:r>
              <w:rPr>
                <w:rFonts w:ascii="游ゴシック" w:cs="游ゴシック" w:eastAsia="游ゴシック" w:hAnsi="游ゴシック"/>
                <w:i w:val="false"/>
                <w:iCs w:val="false"/>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r>
          </w:p>
          <w:p>
            <w:pPr>
              <w:spacing w:after="40" w:before="40" w:line="260"/>
              <w:jc w:val="left"/>
            </w:pPr>
            <w:r>
              <w:rPr>
                <w:rFonts w:ascii="游ゴシック" w:cs="游ゴシック" w:eastAsia="游ゴシック" w:hAnsi="游ゴシック"/>
                <w:i w:val="false"/>
                <w:iCs w:val="false"/>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供給体制・人材確保を加えて再構成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r>
          </w:p>
          <w:p>
            <w:pPr>
              <w:spacing w:after="40" w:before="40" w:line="260"/>
              <w:jc w:val="center"/>
            </w:pPr>
            <w:r>
              <w:rPr>
                <w:rFonts w:ascii="游ゴシック" w:cs="游ゴシック" w:eastAsia="游ゴシック" w:hAnsi="游ゴシック"/>
                <w:i w:val="false"/>
                <w:iCs w:val="false"/>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地域包括ケアの深化を独立させた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（基本方針3に含まれていた</w:t>
            </w:r>
          </w:p>
          <w:p>
            <w:pPr>
              <w:spacing w:after="40" w:before="40" w:line="260"/>
              <w:jc w:val="center"/>
            </w:pPr>
            <w:r>
              <w:rPr>
                <w:rFonts w:ascii="游ゴシック" w:cs="游ゴシック" w:eastAsia="游ゴシック" w:hAnsi="游ゴシック"/>
                <w:i w:val="false"/>
                <w:iCs w:val="false"/>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基本目標</w:t>
            </w:r>
          </w:p>
        </w:tc>
        <w:tc>
          <w:tcPr>
            <w:tcW w:type="pct"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健康寿命の延伸・フレイル予防・通いの場の充実・口腔と栄養の支援を推進し、高齢者がいつまでも元気に生活できる地域づくりを進めます。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見守り・地域支え合い・移動支援・住まいの確保等、独居高齢者・高齢者世帯・老老介護世帯が安心して暮らせる仕組みを整えます。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在宅医療・介護連携、家族介護者支援、緊急時対応、住宅改修等により、住み慣れた自宅・地域での生活継続を支援します。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介護サービスの質の確保、町外施設利用も含めた供給体制の整備、介護人材の確保・育成を推進します。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地域包括支援センターを中心に、医療・介護・予防・住まい・生活支援を一体的に提供する地域包括ケアシステムをさらに深化させます。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対応する基本目標・関連施策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基本目標6を新設し、独立章（第6章）として位置付け。本人意見反映・チームオレンジ整備・認知症カフェ充実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基本目標2。タクシー助成終了後の社協・NPO移送＋デマンドバスの周知強化、施設偏在への対応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基本目標3・5。8050問題・老老介護への対応、介護者レスパイト、包括センター体制強化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基本目標4。みやぎ県南中核病院等との広域医療連携、住所地特例を含めた施設供給見込量</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i w:val="false"/>
                <w:iCs w:val="false"/>
                <w:sz w:val="24"/>
                <w:szCs w:val="24"/>
              </w:rPr>
              <w:t xml:space="preserve">↓</w:t>
            </w:r>
          </w:p>
        </w:tc>
      </w:tr>
      <w:tr>
        <w:tc>
          <w:tcPr/>
          <w:p>
            <w:pPr>
              <w:spacing w:after="80" w:before="80"/>
              <w:jc w:val="center"/>
            </w:pPr>
            <w:r>
              <w:rPr>
                <w:rFonts w:ascii="游ゴシック" w:cs="游ゴシック" w:eastAsia="游ゴシック" w:hAnsi="游ゴシック"/>
                <w:i w:val="false"/>
                <w:iCs w:val="false"/>
                <w:sz w:val="22"/>
                <w:szCs w:val="22"/>
              </w:rPr>
              <w:t xml:space="preserve">【6つの基本目標】</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サービス提供体制と介護人材の確保は第7章で、保険者としての管理・評価は第8章（地域マネジメントの推進）で、それぞれ独立章として詳述し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申込みの有無を最も強く分けていたのは要介護度の重さではなく家族介護者の有無であ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で、家族・親族からの介護がない層が45.8％（n=142）あり、この層の56.9％が既に施設入所を申し込んでいます（介護が「ある」層は13.5％）。さらに、家族介護もサービス利用もない世帯が50件・36.2％（n=138）あり、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施設入所の申込みを最も強く分けているのは、要介護度ではなく家族介護者の有無である。家族介護者への支援は、施設サービスの見込量に直接影響する施策である。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6-2　認知症施策の体系（7基本的施策）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認知症サポーター養成講座の継続（累計550名）。企業・学校サポーター養成の拡大。世界アルツハイマー月間（9月）に合わせた啓発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公共施設・交通・買い物環境におけるバリアフリー化、認知症の人にやさしい地域づくり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認知症カフェ「喫茶みかん」の運営継続。認知症本人ミーティング・ピアサポート活動の場の確保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認知症初期集中支援チームの強化、認知症地域支援推進員の配置、国保川崎病院との連携強化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認知症本人・家族の意見聴取（基本法第3条対応）、認知症施策への当事者参画</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累計550名のサポーターを基盤に、企業・学校サポーターを増やし、活動の質を向上。キャラバンメイト（累計73名）の活動継続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認知症サポーターのうち、地域でステップアップしたメンバーによるチームオレンジを整備。本人・家族支援を実践</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認知症カフェ「喫茶みかん」の運営継続。認知症本人ミーティングの新設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認知症初期集中支援チームの強化、認知症地域支援推進員の活動、もの忘れ相談の継続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目標Ⅰの「評価結果の活用」が16点から0点に、目標Ⅱの「給付費適正化事業の取組状況」が6点から0点となった。本章の各節は、この2つの回復を具体的な目的とする。</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が6点から0点となっており、第10期の重点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交付金の減点項目。実施の状況を確認する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今年度の評価点」及び「後期高齢者数と給付費の伸び率の比較」に対応します。令和8年度の評価ではいずれも3点から0点となっており、様式を定めて継続することで回復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のア〜エがすべて0点となりました（令和7年度は各4点で満点）。この指標は、施策の評価結果を計画に反映し、公表しているかを問うものです。取組そのものではなく、評価結果を計画に反映して公表する手順が定まっているかが要件となります。</w:t>
      </w:r>
    </w:p>
    <w:p>
      <w:pPr>
        <w:spacing w:after="40" w:before="40" w:line="300"/>
        <w:ind w:left="431"/>
      </w:pPr>
      <w:r>
        <w:rPr>
          <w:rFonts w:ascii="游ゴシック" w:cs="游ゴシック" w:eastAsia="游ゴシック" w:hAnsi="游ゴシック"/>
          <w:i w:val="false"/>
          <w:iCs w:val="false"/>
          <w:sz w:val="21"/>
          <w:szCs w:val="21"/>
        </w:rPr>
        <w:t xml:space="preserve">①　毎年度、第10章のKPI管理表により指標の達成状況を評価する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評価の結果を策定委員会（又は同等の組織）に報告し、次年度の事業計画に反映する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評価の結果と、計画に反映した内容を町ホームページで公表する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公表の時期・様式をあらかじめ定め、担当を固定する</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「評価結果の活用」の16点は、第10期で回復可能な得点である。評価を実施すること自体ではなく、評価結果を計画に反映し公表する手順を定めることが要件となる。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1.14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第1号被保険者負担割合。第9期は23％。第10期の割合は政令で定められ、24％となった場合は月額約322円の上昇となる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287円の上昇となるため、宮城県への照会を要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
        <w:gridCol w:w="135"/>
        <w:gridCol w:w="135"/>
        <w:gridCol w:w="62"/>
        <w:gridCol w:w="54"/>
      </w:tblGrid>
      <w:tr>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6,155円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システムの現行値（3か年148,789千円）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1.13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