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Ver.1.22</w:t>
      </w:r>
    </w:p>
    <w:p>
      <w:pPr>
        <w:spacing w:after="80" w:before="80"/>
        <w:jc w:val="center"/>
      </w:pPr>
      <w:r>
        <w:rPr>
          <w:rFonts w:ascii="游ゴシック" w:cs="游ゴシック" w:eastAsia="游ゴシック" w:hAnsi="游ゴシック"/>
          <w:b w:val="false"/>
          <w:bCs w:val="false"/>
          <w:i/>
          <w:iCs/>
          <w:sz w:val="18"/>
          <w:szCs w:val="18"/>
        </w:rPr>
        <w:t xml:space="preserve">（交付金評価 再解析反映版）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bl>
    <w:p>
      <w:pPr>
        <w:spacing w:after="80" w:before="80" w:line="280"/>
        <w:ind w:left="288"/>
      </w:pPr>
      <w:r>
        <w:rPr>
          <w:rFonts w:ascii="游ゴシック" w:cs="游ゴシック" w:eastAsia="游ゴシック" w:hAnsi="游ゴシック"/>
          <w:i/>
          <w:iCs/>
          <w:sz w:val="19"/>
          <w:szCs w:val="19"/>
        </w:rPr>
        <w:t xml:space="preserve">⚠ 頁番号は、本素案Ver.1.17の組版によるものです。図表の差替え・加筆により頁の割付けが動いた場合は、目次の頁番号も併せて更新します。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1.22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確定しました（別冊「施策・事業の体系（Ｃ案）」）。本版では、令和8年9月25日に公表された交付金のとりまとめ資料を踏まえ、市町村分の3か年を再解析し、県内比較と失点の内訳を第3章3-3に加えました。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と標準層（50.2％）を大きく上回っており、特定健診・保健指導の対象を客観的に絞り込む手がかりとなります。低栄養リスクに該当する方は4人（0.7％）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介護予防・日常生活支援総合事業、包括的支援事業・任意事業を推進します。重層的支援体制整備事業との連動を加えます。（2節5項28事業）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6節8項27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本計画の基本理念・施策の体系は以下のとおりです。柱ごとの節・項・事業の全体像は、別冊「施策・事業の体系（Ｃ案）」（全7章17節37項140事業）に収録しています。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【7つの柱】（全7章17節37項140事業）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を除く施策を、施策体系・主な事業・成果指標（KPI）の3層構造で整理します。認知症施策（柱5）は第6章で、サービス提供体制と介護人材の確保は第7章で、保険者としての管理・評価は第8章（地域マネジメントの推進）で、それぞれ独立章として詳述します。なお、本章の5つの節は本素案Ver.1.20までの基本目標1〜5に対応するもので、節の構成を7つの柱の章立てに合わせる組み替えはVer.2.0で行います（対応は下表のとおりです）。その際、体系（Ｃ案）の140事業をすべて本章に掲げ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Ver.2.0で行います。Ver.1.21では、施策の内容は変えずに体系上の位置付けのみを確定しています。体系（Ｃ案）で新たに立てた事業23件（家族介護者への支援6件・認知症施策13件・町外医療機関との広域連携・重層的支援体制整備事業との連動・計画値と実績値の乖離のモニタリング・住所地特例への対応）は、Ver.2.0で本章及び第6章から第8章までに展開します。</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家族介護教室・介護相談・レスパイト（短期入所）の活用支援。本人が男性の世帯（介護者の70.6％が70歳以上）・夫婦のみ世帯（同81.3％）を重点対象とする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介護と仕事の両立支援、町内事業所との連携。本人が女性の世帯（介護者の43.6％が50代以下・フルタイム就労41.0％）を主たる対象とする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施策の体系においても、町がお示しになった「施策・事業の体系（案）」では「地域支援事業の充実」の一節に置かれていた認知症施策を、独立した柱（柱5 認知症施策の推進・6節8項27事業）に引き上げています。同法第14条から第21条までの8つの基本的施策のすべてに対応する事業を置いたうえで、第9条（認知症の日・認知症月間）及び第13条（計画の策定手続）への対応を加え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また、同交付金の体制・取組指標のうち「難聴高齢者の早期発見・早期介入」は20点満点で宮城県内1位（宮城県平均11.3点・全国平均6.9点）であり、本町の強みです。難聴は認知症の危険因子として国際的に確立しており、認知症基本法第21条（認知症の予防等）の対応事業として本章に位置付けます。</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