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Ver.2.2</w:t>
      </w:r>
    </w:p>
    <w:p>
      <w:pPr>
        <w:spacing w:after="80" w:before="80"/>
        <w:jc w:val="center"/>
      </w:pPr>
      <w:r>
        <w:rPr>
          <w:rFonts w:ascii="游ゴシック" w:cs="游ゴシック" w:eastAsia="游ゴシック" w:hAnsi="游ゴシック"/>
          <w:b w:val="false"/>
          <w:bCs w:val="false"/>
          <w:i/>
          <w:iCs/>
          <w:sz w:val="18"/>
          <w:szCs w:val="18"/>
        </w:rPr>
        <w:t xml:space="preserve">（認知症施策推進計画 必須記載事項反映版）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bl>
    <w:p>
      <w:pPr>
        <w:spacing w:after="80" w:before="80" w:line="280"/>
        <w:ind w:left="288"/>
      </w:pPr>
      <w:r>
        <w:rPr>
          <w:rFonts w:ascii="游ゴシック" w:cs="游ゴシック" w:eastAsia="游ゴシック" w:hAnsi="游ゴシック"/>
          <w:i/>
          <w:iCs/>
          <w:sz w:val="19"/>
          <w:szCs w:val="19"/>
        </w:rPr>
        <w:t xml:space="preserve">⚠ 頁番号は、本素案Ver.2.2の組版によるものです。図表の差替え・加筆により頁の割付けが動いた場合は、目次の頁番号も併せて更新します。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2.2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Ver.2.0で143事業を第5章・第6章・第8章に書き下ろし、Ver.2.1で第10期に内容が変わる42事業（新規23・拡充19）の根拠と内容を示しました。本版では、厚生労働省「都道府県・市町村向け認知症施策推進計画策定の手引き」及び認知症施策推進基本計画が市町村計画に求める記載事項と第6章を突き合わせ、「新しい認知症観」・本町が目指す姿・本人参画の進め方・部署横断的な検討の場・他の計画との連動・国の重点目標とKPIの対応を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2"/>
          <w:szCs w:val="22"/>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1"/>
          <w:szCs w:val="21"/>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2"/>
          <w:szCs w:val="22"/>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485.0点</w:t>
            </w:r>
          </w:p>
        </w:tc>
      </w:tr>
    </w:tbl>
    <w:p>
      <w:pPr>
        <w:spacing w:after="80" w:before="180" w:line="300"/>
      </w:pPr>
      <w:r>
        <w:rPr>
          <w:rFonts w:ascii="游ゴシック" w:cs="游ゴシック" w:eastAsia="游ゴシック" w:hAnsi="游ゴシック"/>
          <w:b w:val="1"/>
          <w:bCs w:val="1"/>
          <w:i w:val="false"/>
          <w:iCs w:val="false"/>
          <w:sz w:val="22"/>
          <w:szCs w:val="22"/>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1"/>
          <w:szCs w:val="21"/>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2"/>
          <w:szCs w:val="22"/>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47位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2"/>
          <w:szCs w:val="22"/>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1"/>
          <w:szCs w:val="21"/>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180" w:line="300"/>
      </w:pPr>
      <w:r>
        <w:rPr>
          <w:rFonts w:ascii="游ゴシック" w:cs="游ゴシック" w:eastAsia="游ゴシック" w:hAnsi="游ゴシック"/>
          <w:b w:val="1"/>
          <w:bCs w:val="1"/>
          <w:i w:val="false"/>
          <w:iCs w:val="false"/>
          <w:sz w:val="22"/>
          <w:szCs w:val="22"/>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1"/>
          <w:szCs w:val="21"/>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5"/>
          <w:szCs w:val="25"/>
        </w:rPr>
        <w:t xml:space="preserve">5-1　健康づくりの推進（柱1）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5"/>
          <w:szCs w:val="25"/>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1"/>
          <w:szCs w:val="21"/>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1"/>
          <w:szCs w:val="21"/>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1"/>
          <w:szCs w:val="21"/>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1"/>
          <w:szCs w:val="21"/>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1"/>
          <w:szCs w:val="21"/>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の要件その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たうえで聴取に入ることにより、5点を得られます（第3章3-3）。</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80" w:before="180" w:line="300"/>
      </w:pPr>
      <w:r>
        <w:rPr>
          <w:rFonts w:ascii="游ゴシック" w:cs="游ゴシック" w:eastAsia="游ゴシック" w:hAnsi="游ゴシック"/>
          <w:b w:val="1"/>
          <w:bCs w:val="1"/>
          <w:i w:val="false"/>
          <w:iCs w:val="false"/>
          <w:sz w:val="22"/>
          <w:szCs w:val="22"/>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記録票には氏名を記載せず、整理番号（本人Ａ・家族Ａ等）で管理します。写真等は本人の同意を得たものに限ります。計画書には聴取の結果の要約（誰から何件・主な意見）を掲げ、様式そのものは別冊「様式集」に、個々の記録票は町の内部資料として保管します。様式の運用（記録者・保管・個人情報の取扱い）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2"/>
          <w:szCs w:val="22"/>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2"/>
          <w:szCs w:val="22"/>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1"/>
          <w:szCs w:val="21"/>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第9章・第10章</w:t>
            </w:r>
          </w:p>
        </w:tc>
      </w:tr>
    </w:tbl>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1"/>
          <w:szCs w:val="21"/>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法：第13条第3項において準用する第12条第5項・第6項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法：第13条第3項において準用する第12条第7項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2"/>
          <w:szCs w:val="22"/>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1"/>
          <w:szCs w:val="21"/>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費用を要するのは認知症ケアパスの印刷費のみで、他の14件は費用を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76"/>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追加候補の事業又は内容</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費用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認知症ケアパスの作成・更新・周知（第3節）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国のKPI 重点目標3アウトプット指標7は「基本法の趣旨を踏まえた認知症ケアパスの作成・更新・周知を行っている市町村の数」で、24指標のうち市町村の数を直接数える唯一の成果物。交付金 支援 目標Ⅱ（ⅰ）2アの留意点でもケアパスの配布が例示されている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印刷費（部数により数十万円）。確認事項No.137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要しない。確認事項No.143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要しない（本人ミーティングの運営の中で兼ねる）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要しない。何をもって満点としているかを確認（確認事項No.145）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要しない（謝金が生じる場合がある）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要しない。確認事項No.138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要しない（宮城県の研修を活用）。確認事項No.140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手引き3（3）3・5（2）4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要しない。確認事項No.144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手引き2（1）5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災害発生時の高齢者支援対策（5-2第2節）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手引き2（1）8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高齢者虐待の早期発見、早期解決（5-4第2節1（7））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手引き4（4）1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通いの場等による介護予防（5-1・5-4第1節）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手引き8（1）1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要しない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任意事業の経費。確認事項No.141</w:t>
            </w:r>
          </w:p>
        </w:tc>
      </w:tr>
    </w:tbl>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1"/>
          <w:szCs w:val="21"/>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第2章2-3・第9章9-1</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1"/>
          <w:szCs w:val="21"/>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273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2"/>
          <w:szCs w:val="22"/>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1"/>
          <w:szCs w:val="21"/>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