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　［第２版］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計画骨子（案）と今後の予定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訂正事項（４件）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が確定しました。第１回でお示しした数値からの変更はありませんが、施設入所の検討状況の読み方と、在宅系サービスの利用の低さの解釈を改めております（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町ご提示の体系（案）と計画素案Ver.1.20の基本目標との対応は次のとおりです。章立ての違いのほか、双方に相手方へ対応する項がない施策群があります。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町案にあって計画素案に記載のない事業が８件、計画素案にあって町案に対応する項がない施策群が５群あります。いずれの選択肢を採る場合も、双方を統合した体系表をVer.2.0で作成します。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が680,226千円・68.1％を占めます。１人当たり月額は在宅の居宅サービス約8.8万円に対し入所・居住系は約29.5万円で、約3.4倍です。入所・居住系の利用者が１人増減すると、保険料基準額は月額約22円動きます。在宅の要介護者の33.8％がすでに入所を申し込んでおり、町全体に外挿すると約125〜190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5,940円（▲230円）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6,400円（＋230円）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いずれも算定Ｂ（介護給付費準備基金の50％取崩し）の場合の額です。第９期は6,500円。入所・居住系の１人１月あたり給付費（令和7年度実績 約29.9万円）により10人分を増減させています。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また、町内及び近隣市町村にこれらの指定事業所が存在するかを確認できておりません【町確認】。存在しない場合、利用が０件であることは供給側の事実であり、ケアプラン点検や利用勧奨では対応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5,518円（▲15.1％）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982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第９期と同じ考え方で、基金の約半分を取り崩す（月額6,170円・第９期比▲330円）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5,518円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6,170円を基準）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＋273円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＋230円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▲230円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1,304円の差があります。次いで第１号被保険者負担割合（24％で＋309円）と調整交付金の見込交付割合（5.0％で＋273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新たに加える施策は28件、廃止・移設は４件です。タクシー利用助成事業は令和７年３月に終了済みであり、介護療養型医療施設は令和５年度末に制度廃止となっているため、第１０期では記載しません。なお、町からご提示いただいた「施策・事業の体系（案）」との照合では、町案にあって計画素案に記載のない事業が８件（感染症対策、防犯対策、交通安全対策、消費者被害の防止と救済、会食サービス、敬老会・敬老祝金、生涯学習、認知症高齢者等見守りＱＲコード活用事業）、計画素案にあって町案に対応する項がない施策が家族介護者支援・介護離職防止・移動支援の再構築・広域医療連携・重層的支援体制の５群ありました。選択１のご判断を受けて、双方を統合した体系表をVer.2.0で作成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第１０期では、各指標に次の項目を必ず付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選択１のご判断を受けた施策体系の統合（町案と計画素案の対応表の作成）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計画書（案）の作成。町確認データによる保険料の確定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第３回：保険料基準額と所得段階別保険料の確定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第４回：計画書（案）・概要版（案）の確定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計画書・概要版の印刷・製本・納品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策定委員会は３回構成であり、第３回で答申の内容を確定しま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訂正事項４件のご確認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