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２版。第１版は第２回レビューへの対応９件のみ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16は正本の網羅性点検（漏れている論点18件）で挙げたうち、本文を書くだけで入れられるものです。移植10（基盤整備量）は基本指針が定めなければならないとした事項であり、最も急ぎ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移植16件の後に、同日受領した論点メモ（30論点）からの修正と、本書で扱っていない網羅性点検の残り６件を載せました。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積雪・通行止めにより村外への通所ができない場合に備え、訪問系サービス又は日中一時支援への一時的な振替えを想定する</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会津北部地域生活支援拠点を通じて圏域内の代替の受入れ先を調整する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正本に「継続入所者」の語は０件。施設入所支援４人をそのまま計上している。生活介護・就労継続支援Ｂ型も同じ扱いが要る</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介護保険に移った方のケアマネジメントは居宅介護支援が担うため、計画相談支援の対象から外れる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先に受領した素案の網羅性点検で挙げた論点のうち、本書の９件に含まれていないものです。移植先の目安を添えました。基盤整備量（Ｄ）は定めなければならない事項であり、最も急ぎます。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Ｇ</w:t>
            </w:r>
          </w:p>
        </w:tc>
        <w:tc>
          <w:tcPr>
            <w:tcW w:w="4200" w:type="dxa"/>
          </w:tcPr>
          <w:p>
            <w:pPr>
              <w:spacing w:after="0"/>
            </w:pPr>
            <w:r>
              <w:rPr>
                <w:rFonts w:ascii="BIZ UDPゴシック" w:hAnsi="BIZ UDPゴシック" w:eastAsia="BIZ UDPゴシック" w:cs="BIZ UDPゴシック"/>
                <w:b w:val="0"/>
                <w:sz w:val="18"/>
              </w:rPr>
              <w:t>福島県の計画との整合（第５次県障がい者計画・第７期県障がい福祉計画の名称・期間・成果目標との関係、会津障がい保健福祉圏域と会津北部圏域の違い）</w:t>
            </w:r>
          </w:p>
        </w:tc>
        <w:tc>
          <w:tcPr>
            <w:tcW w:w="2800" w:type="dxa"/>
          </w:tcPr>
          <w:p>
            <w:pPr>
              <w:spacing w:after="0"/>
            </w:pPr>
            <w:r>
              <w:rPr>
                <w:rFonts w:ascii="BIZ UDPゴシック" w:hAnsi="BIZ UDPゴシック" w:eastAsia="BIZ UDPゴシック" w:cs="BIZ UDPゴシック"/>
                <w:b w:val="0"/>
                <w:sz w:val="18"/>
              </w:rPr>
              <w:t>告示 第三の一の7（他の計画等との調和）</w:t>
            </w:r>
          </w:p>
        </w:tc>
        <w:tc>
          <w:tcPr>
            <w:tcW w:w="2200" w:type="dxa"/>
          </w:tcPr>
          <w:p>
            <w:pPr>
              <w:spacing w:after="0"/>
            </w:pPr>
            <w:r>
              <w:rPr>
                <w:rFonts w:ascii="BIZ UDPゴシック" w:hAnsi="BIZ UDPゴシック" w:eastAsia="BIZ UDPゴシック" w:cs="BIZ UDPゴシック"/>
                <w:b w:val="0"/>
                <w:sz w:val="18"/>
              </w:rPr>
              <w:t>第１章２又は第７章</w:t>
            </w:r>
          </w:p>
        </w:tc>
        <w:tc>
          <w:tcPr>
            <w:tcW w:w="4200" w:type="dxa"/>
          </w:tcPr>
          <w:p>
            <w:pPr>
              <w:spacing w:after="0"/>
            </w:pPr>
            <w:r>
              <w:rPr>
                <w:rFonts w:ascii="BIZ UDPゴシック" w:hAnsi="BIZ UDPゴシック" w:eastAsia="BIZ UDPゴシック" w:cs="BIZ UDPゴシック"/>
                <w:b w:val="0"/>
                <w:sz w:val="18"/>
              </w:rPr>
              <w:t>現行は第１章２に1文のみ。県の計画協議で最初に問われる。当方の素案 第１章２に3節（県の計画との整合・県が定める区域と圏域・県の成果目標との関係）があり、そのまま移せる</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Ｋ</w:t>
            </w:r>
          </w:p>
        </w:tc>
        <w:tc>
          <w:tcPr>
            <w:tcW w:w="4200" w:type="dxa"/>
          </w:tcPr>
          <w:p>
            <w:pPr>
              <w:spacing w:after="0"/>
            </w:pPr>
            <w:r>
              <w:rPr>
                <w:rFonts w:ascii="BIZ UDPゴシック" w:hAnsi="BIZ UDPゴシック" w:eastAsia="BIZ UDPゴシック" w:cs="BIZ UDPゴシック"/>
                <w:b w:val="0"/>
                <w:sz w:val="18"/>
              </w:rPr>
              <w:t>年齢到達に伴うサービスの移行（15～17歳・18歳・20歳・22歳・40歳・65歳）と学校卒業に伴う移行</w:t>
            </w:r>
          </w:p>
        </w:tc>
        <w:tc>
          <w:tcPr>
            <w:tcW w:w="2800" w:type="dxa"/>
          </w:tcPr>
          <w:p>
            <w:pPr>
              <w:spacing w:after="0"/>
            </w:pPr>
            <w:r>
              <w:rPr>
                <w:rFonts w:ascii="BIZ UDPゴシック" w:hAnsi="BIZ UDPゴシック" w:eastAsia="BIZ UDPゴシック" w:cs="BIZ UDPゴシック"/>
                <w:b w:val="0"/>
                <w:sz w:val="18"/>
              </w:rPr>
              <w:t>告示 第三の二の2㈠（障害児通所支援等からの円滑な移行）</w:t>
            </w:r>
          </w:p>
        </w:tc>
        <w:tc>
          <w:tcPr>
            <w:tcW w:w="2200" w:type="dxa"/>
          </w:tcPr>
          <w:p>
            <w:pPr>
              <w:spacing w:after="0"/>
            </w:pPr>
            <w:r>
              <w:rPr>
                <w:rFonts w:ascii="BIZ UDPゴシック" w:hAnsi="BIZ UDPゴシック" w:eastAsia="BIZ UDPゴシック" w:cs="BIZ UDPゴシック"/>
                <w:b w:val="0"/>
                <w:sz w:val="18"/>
              </w:rPr>
              <w:t>第５章１の冒頭又は新しい節</w:t>
            </w:r>
          </w:p>
        </w:tc>
        <w:tc>
          <w:tcPr>
            <w:tcW w:w="4200" w:type="dxa"/>
          </w:tcPr>
          <w:p>
            <w:pPr>
              <w:spacing w:after="0"/>
            </w:pPr>
            <w:r>
              <w:rPr>
                <w:rFonts w:ascii="BIZ UDPゴシック" w:hAnsi="BIZ UDPゴシック" w:eastAsia="BIZ UDPゴシック" w:cs="BIZ UDPゴシック"/>
                <w:b w:val="0"/>
                <w:sz w:val="18"/>
              </w:rPr>
              <w:t>移植４（医療的ケア児等の18歳到達）と移植16（65歳到達）で一部は入るが、年齢ごとの整理の節は別に要る。当方の素案 第５章２がそのまま使える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移植６で意見申出と圏域での共有までは書いたが、サービスごとの圏域の整備量までは書いていない。県計画の会津障がい保健福祉圏域計画が定める必要事業所数を引用すると具体化できる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Ｎ</w:t>
            </w:r>
          </w:p>
        </w:tc>
        <w:tc>
          <w:tcPr>
            <w:tcW w:w="4200" w:type="dxa"/>
          </w:tcPr>
          <w:p>
            <w:pPr>
              <w:spacing w:after="0"/>
            </w:pPr>
            <w:r>
              <w:rPr>
                <w:rFonts w:ascii="BIZ UDPゴシック" w:hAnsi="BIZ UDPゴシック" w:eastAsia="BIZ UDPゴシック" w:cs="BIZ UDPゴシック"/>
                <w:b w:val="0"/>
                <w:sz w:val="18"/>
              </w:rPr>
              <w:t>関係機関との連携の節（公共職業安定所・障害者職業センター・障害者就業・生活支援センター・こども家庭センター等）</w:t>
            </w:r>
          </w:p>
        </w:tc>
        <w:tc>
          <w:tcPr>
            <w:tcW w:w="2800" w:type="dxa"/>
          </w:tcPr>
          <w:p>
            <w:pPr>
              <w:spacing w:after="0"/>
            </w:pPr>
            <w:r>
              <w:rPr>
                <w:rFonts w:ascii="BIZ UDPゴシック" w:hAnsi="BIZ UDPゴシック" w:eastAsia="BIZ UDPゴシック" w:cs="BIZ UDPゴシック"/>
                <w:b w:val="0"/>
                <w:sz w:val="18"/>
              </w:rPr>
              <w:t>別表第二 五㈠㈡</w:t>
            </w:r>
          </w:p>
        </w:tc>
        <w:tc>
          <w:tcPr>
            <w:tcW w:w="2200" w:type="dxa"/>
          </w:tcPr>
          <w:p>
            <w:pPr>
              <w:spacing w:after="0"/>
            </w:pPr>
            <w:r>
              <w:rPr>
                <w:rFonts w:ascii="BIZ UDPゴシック" w:hAnsi="BIZ UDPゴシック" w:eastAsia="BIZ UDPゴシック" w:cs="BIZ UDPゴシック"/>
                <w:b w:val="0"/>
                <w:sz w:val="18"/>
              </w:rPr>
              <w:t>第５章２又は新しい節</w:t>
            </w:r>
          </w:p>
        </w:tc>
        <w:tc>
          <w:tcPr>
            <w:tcW w:w="4200" w:type="dxa"/>
          </w:tcPr>
          <w:p>
            <w:pPr>
              <w:spacing w:after="0"/>
            </w:pPr>
            <w:r>
              <w:rPr>
                <w:rFonts w:ascii="BIZ UDPゴシック" w:hAnsi="BIZ UDPゴシック" w:eastAsia="BIZ UDPゴシック" w:cs="BIZ UDPゴシック"/>
                <w:b w:val="0"/>
                <w:sz w:val="18"/>
              </w:rPr>
              <w:t>移植３・13で就労関係の機関名は出るが、連携の内容を定める節は別に要る。当方の素案 第５章14に11機関の一覧があり、そのまま移せる。論点メモ R-3（連携が分かる図）もここでまとめられる</w:t>
            </w:r>
          </w:p>
        </w:tc>
        <w:tc>
          <w:tcPr>
            <w:tcW w:w="9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Ｑ</w:t>
            </w:r>
          </w:p>
        </w:tc>
        <w:tc>
          <w:tcPr>
            <w:tcW w:w="4200" w:type="dxa"/>
          </w:tcPr>
          <w:p>
            <w:pPr>
              <w:spacing w:after="0"/>
            </w:pPr>
            <w:r>
              <w:rPr>
                <w:rFonts w:ascii="BIZ UDPゴシック" w:hAnsi="BIZ UDPゴシック" w:eastAsia="BIZ UDPゴシック" w:cs="BIZ UDPゴシック"/>
                <w:b w:val="0"/>
                <w:sz w:val="18"/>
              </w:rPr>
              <w:t>給付費及び財源構成の見込み</w:t>
            </w:r>
          </w:p>
        </w:tc>
        <w:tc>
          <w:tcPr>
            <w:tcW w:w="2800" w:type="dxa"/>
          </w:tcPr>
          <w:p>
            <w:pPr>
              <w:spacing w:after="0"/>
            </w:pPr>
            <w:r>
              <w:rPr>
                <w:rFonts w:ascii="BIZ UDPゴシック" w:hAnsi="BIZ UDPゴシック" w:eastAsia="BIZ UDPゴシック" w:cs="BIZ UDPゴシック"/>
                <w:b w:val="0"/>
                <w:sz w:val="18"/>
              </w:rPr>
              <w:t>別表第二の求める事項ではない</w:t>
            </w:r>
          </w:p>
        </w:tc>
        <w:tc>
          <w:tcPr>
            <w:tcW w:w="2200" w:type="dxa"/>
          </w:tcPr>
          <w:p>
            <w:pPr>
              <w:spacing w:after="0"/>
            </w:pPr>
            <w:r>
              <w:rPr>
                <w:rFonts w:ascii="BIZ UDPゴシック" w:hAnsi="BIZ UDPゴシック" w:eastAsia="BIZ UDPゴシック" w:cs="BIZ UDPゴシック"/>
                <w:b w:val="0"/>
                <w:sz w:val="18"/>
              </w:rPr>
              <w:t>第５章に新しい節</w:t>
            </w:r>
          </w:p>
        </w:tc>
        <w:tc>
          <w:tcPr>
            <w:tcW w:w="4200" w:type="dxa"/>
          </w:tcPr>
          <w:p>
            <w:pPr>
              <w:spacing w:after="0"/>
            </w:pPr>
            <w:r>
              <w:rPr>
                <w:rFonts w:ascii="BIZ UDPゴシック" w:hAnsi="BIZ UDPゴシック" w:eastAsia="BIZ UDPゴシック" w:cs="BIZ UDPゴシック"/>
                <w:b w:val="0"/>
                <w:sz w:val="18"/>
              </w:rPr>
              <w:t>庁議・議会で必ず問われる。当方の算定では3か年計1億7,286万円。当方の素案 第５章12がそのまま使える</w:t>
            </w:r>
          </w:p>
        </w:tc>
        <w:tc>
          <w:tcPr>
            <w:tcW w:w="900" w:type="dxa"/>
          </w:tcPr>
          <w:p>
            <w:pPr>
              <w:spacing w:after="0"/>
            </w:pPr>
            <w:r>
              <w:rPr>
                <w:rFonts w:ascii="BIZ UDPゴシック" w:hAnsi="BIZ UDPゴシック" w:eastAsia="BIZ UDPゴシック" w:cs="BIZ UDPゴシック"/>
                <w:b w:val="0"/>
                <w:sz w:val="18"/>
              </w:rPr>
              <w:t>低</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・第５章２に（７）～（14）を足した結果、項が14になります。読みにくければ「１ サービスの確保」「２ 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・移植16件を入れると、正本は約45頁から約56頁になります（注記を削ると約52頁）。分量配分計画の60頁には収まります。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