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第271回 介護給付費分科会・</w:t>
        <w:br/>
        <w:t>第160回 障害者部会</w:t>
      </w:r>
    </w:p>
    <w:p>
      <w:r>
        <w:rPr>
          <w:b/>
          <w:color w:val="1C3F62"/>
          <w:sz w:val="24"/>
        </w:rPr>
        <w:t>高齢者介護保険事業計画・障害福祉計画への反映論点整理</w:t>
      </w:r>
    </w:p>
    <w:p>
      <w:r>
        <w:rPr>
          <w:color w:val="606E7C"/>
        </w:rPr>
        <w:t>【令和8年10月20日現在／自治体打合せ・計画素案レビュー用】</w:t>
      </w:r>
    </w:p>
    <w:tbl>
      <w:tblPr>
        <w:tblW w:type="auto" w:w="0"/>
        <w:tblLook w:firstColumn="1" w:firstRow="1" w:lastColumn="0" w:lastRow="0" w:noHBand="0" w:noVBand="1" w:val="04A0"/>
      </w:tblPr>
      <w:tblGrid>
        <w:gridCol w:w="9922"/>
      </w:tblGrid>
      <w:tr>
        <w:tc>
          <w:tcPr>
            <w:tcW w:type="dxa" w:w="9922"/>
            <w:shd w:fill="E7F0F8"/>
            <w:tcBorders>
              <w:top w:val="single" w:sz="5" w:color="D6E1EC"/>
              <w:left w:val="single" w:sz="5" w:color="D6E1EC"/>
              <w:bottom w:val="single" w:sz="5" w:color="D6E1EC"/>
              <w:right w:val="single" w:sz="5" w:color="D6E1EC"/>
            </w:tcBorders>
          </w:tcPr>
          <w:p>
            <w:pPr>
              <w:spacing w:after="60"/>
            </w:pPr>
            <w:r>
              <w:rPr>
                <w:b/>
                <w:color w:val="1C3F62"/>
                <w:sz w:val="18"/>
              </w:rPr>
              <w:t xml:space="preserve">結論　</w:t>
            </w:r>
            <w:r>
              <w:rPr>
                <w:color w:val="293541"/>
                <w:sz w:val="17"/>
              </w:rPr>
              <w:t>両会議とも「需要の推計」だけでなく、人材・事業所・移動・地域連携等を踏まえた提供可能量の検証が中心課題。令和9年度報酬改定案を確定内容と混同せず、計画素案と確定後の再推計を分ける。</w:t>
            </w:r>
          </w:p>
        </w:tc>
      </w:tr>
    </w:tbl>
    <w:p>
      <w:pPr>
        <w:spacing w:after="0"/>
      </w:pPr>
    </w:p>
    <w:p>
      <w:pPr>
        <w:pStyle w:val="Heading1"/>
        <w:keepNext/>
      </w:pPr>
      <w:r>
        <w:t>会議別の要点</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268"/>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会議</w:t>
            </w:r>
          </w:p>
        </w:tc>
        <w:tc>
          <w:tcPr>
            <w:tcW w:type="dxa" w:w="3402"/>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対象・資料</w:t>
            </w:r>
          </w:p>
        </w:tc>
        <w:tc>
          <w:tcPr>
            <w:tcW w:type="dxa" w:w="402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計画策定での優先論点</w:t>
            </w:r>
          </w:p>
        </w:tc>
      </w:tr>
      <w:tr>
        <w:trPr>
          <w:cantSplit/>
        </w:trPr>
        <w:tc>
          <w:tcPr>
            <w:tcW w:type="dxa" w:w="2268"/>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第271回 介護給付費分科会</w:t>
              <w:br/>
              <w:t>10月19日</w:t>
            </w:r>
          </w:p>
        </w:tc>
        <w:tc>
          <w:tcPr>
            <w:tcW w:type="dxa" w:w="3402"/>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訪問介護、訪問入浴、訪問看護、訪問リハ、居宅療養管理指導、居宅介護支援（資料1～6）</w:t>
            </w:r>
          </w:p>
        </w:tc>
        <w:tc>
          <w:tcPr>
            <w:tcW w:type="dxa" w:w="402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訪問サービス維持／ケアマネ人材／在宅医療・介護連携／給付費推計</w:t>
            </w:r>
          </w:p>
        </w:tc>
      </w:tr>
      <w:tr>
        <w:trPr>
          <w:cantSplit/>
        </w:trPr>
        <w:tc>
          <w:tcPr>
            <w:tcW w:type="dxa" w:w="2268"/>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第160回 障害者部会</w:t>
              <w:br/>
              <w:t>10月20日</w:t>
            </w:r>
          </w:p>
        </w:tc>
        <w:tc>
          <w:tcPr>
            <w:tcW w:type="dxa" w:w="3402"/>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報酬改定検討状況（資料1）、特定地域の考え方（資料2）、自立支援医療特例（資料3）</w:t>
            </w:r>
          </w:p>
        </w:tc>
        <w:tc>
          <w:tcPr>
            <w:tcW w:type="dxa" w:w="4025"/>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訪問系の移動・支援体制／A型・B型・就労選択支援／中山間・人口減少地域／医療費助成</w:t>
            </w:r>
          </w:p>
        </w:tc>
      </w:tr>
    </w:tbl>
    <w:p>
      <w:pPr>
        <w:spacing w:after="0"/>
      </w:pPr>
    </w:p>
    <w:p>
      <w:pPr>
        <w:pStyle w:val="Heading2"/>
        <w:keepNext/>
      </w:pPr>
      <w:r>
        <w:t>読み方・判定基準</w:t>
      </w:r>
    </w:p>
    <w:p>
      <w:r>
        <w:t>【資料上の「対応案／検討の方向性」】＝審議中。正式な報酬告示・省令等が出るまでは「確定」と記載しない。</w:t>
      </w:r>
    </w:p>
    <w:p>
      <w:r>
        <w:t>【自治体への確認事項】＝本報告書が提示する実務上の確認案。国が一律に義務付けた調査項目を意味しない。</w:t>
      </w:r>
    </w:p>
    <w:p>
      <w:r>
        <w:t>【対象期間】第10期介護保険事業計画・第8期障害福祉計画：令和9～11年度。</w:t>
      </w:r>
    </w:p>
    <w:tbl>
      <w:tblPr>
        <w:tblW w:type="auto" w:w="0"/>
        <w:tblLook w:firstColumn="1" w:firstRow="1" w:lastColumn="0" w:lastRow="0" w:noHBand="0" w:noVBand="1" w:val="04A0"/>
      </w:tblPr>
      <w:tblGrid>
        <w:gridCol w:w="9922"/>
      </w:tblGrid>
      <w:tr>
        <w:tc>
          <w:tcPr>
            <w:tcW w:type="dxa" w:w="9922"/>
            <w:shd w:fill="FFF3D8"/>
            <w:tcBorders>
              <w:top w:val="single" w:sz="5" w:color="D6E1EC"/>
              <w:left w:val="single" w:sz="5" w:color="D6E1EC"/>
              <w:bottom w:val="single" w:sz="5" w:color="D6E1EC"/>
              <w:right w:val="single" w:sz="5" w:color="D6E1EC"/>
            </w:tcBorders>
          </w:tcPr>
          <w:p>
            <w:pPr>
              <w:spacing w:after="60"/>
            </w:pPr>
            <w:r>
              <w:rPr>
                <w:b/>
                <w:color w:val="1C3F62"/>
                <w:sz w:val="18"/>
              </w:rPr>
              <w:t xml:space="preserve">資料確認の留意点　</w:t>
            </w:r>
            <w:r>
              <w:rPr>
                <w:color w:val="293541"/>
                <w:sz w:val="17"/>
              </w:rPr>
              <w:t>第160回資料2（11.4MB）は公開ページと議題を確認したが、本文全頁を技術上取得できていないため、指定条件・数値基準を本報告書では確定的に記載していない。正式な指定要件は資料原本及び今後の通知で照合する。</w:t>
            </w:r>
          </w:p>
        </w:tc>
      </w:tr>
    </w:tbl>
    <w:p>
      <w:pPr>
        <w:spacing w:after="0"/>
      </w:pPr>
    </w:p>
    <w:p>
      <w:r>
        <w:br w:type="page"/>
      </w:r>
    </w:p>
    <w:p>
      <w:pPr>
        <w:pStyle w:val="Heading1"/>
        <w:keepNext/>
      </w:pPr>
      <w:r>
        <w:t>Ⅰ　第271回介護給付費分科会：第10期介護保険事業計画</w:t>
      </w:r>
    </w:p>
    <w:p>
      <w:r>
        <w:t>日時：令和8年10月19日　｜　根拠：資料1～6（「改定の方向性」）</w:t>
      </w:r>
    </w:p>
    <w:p>
      <w:pPr>
        <w:pStyle w:val="Heading2"/>
        <w:keepNext/>
      </w:pPr>
      <w:r>
        <w:t>1. 6サービスの論点と計画記載事項</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814"/>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資料</w:t>
            </w:r>
          </w:p>
        </w:tc>
        <w:tc>
          <w:tcPr>
            <w:tcW w:type="dxa" w:w="368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審議事項</w:t>
            </w:r>
          </w:p>
        </w:tc>
        <w:tc>
          <w:tcPr>
            <w:tcW w:type="dxa" w:w="419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計画での扱い</w:t>
            </w:r>
          </w:p>
        </w:tc>
      </w:tr>
      <w:tr>
        <w:trPr>
          <w:cantSplit/>
        </w:trPr>
        <w:tc>
          <w:tcPr>
            <w:tcW w:type="dxa" w:w="1814"/>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資料1 訪問介護</w:t>
            </w:r>
          </w:p>
        </w:tc>
        <w:tc>
          <w:tcPr>
            <w:tcW w:type="dxa" w:w="368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事業所間協働化、サ責の負担軽減、中山間地域の移動コスト、住まい別の報酬</w:t>
            </w:r>
          </w:p>
        </w:tc>
        <w:tc>
          <w:tcPr>
            <w:tcW w:type="dxa" w:w="419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訪問型サービス確保／未充足需要／広域利用／報酬改定影響</w:t>
            </w:r>
          </w:p>
        </w:tc>
      </w:tr>
      <w:tr>
        <w:trPr>
          <w:cantSplit/>
        </w:trPr>
        <w:tc>
          <w:tcPr>
            <w:tcW w:type="dxa" w:w="1814"/>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資料2 訪問入浴</w:t>
            </w:r>
          </w:p>
        </w:tc>
        <w:tc>
          <w:tcPr>
            <w:tcW w:type="dxa" w:w="3685"/>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重度・医療的ケア・看取り、事業所減少、住まい別報酬</w:t>
            </w:r>
          </w:p>
        </w:tc>
        <w:tc>
          <w:tcPr>
            <w:tcW w:type="dxa" w:w="4195"/>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重度者・看取りの在宅継続、供給圏域・移動負担</w:t>
            </w:r>
          </w:p>
        </w:tc>
      </w:tr>
      <w:tr>
        <w:trPr>
          <w:cantSplit/>
        </w:trPr>
        <w:tc>
          <w:tcPr>
            <w:tcW w:type="dxa" w:w="1814"/>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資料3 訪問看護</w:t>
            </w:r>
          </w:p>
        </w:tc>
        <w:tc>
          <w:tcPr>
            <w:tcW w:type="dxa" w:w="368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24時間対応、医療介護のICT連携、服薬管理、重度者支援</w:t>
            </w:r>
          </w:p>
        </w:tc>
        <w:tc>
          <w:tcPr>
            <w:tcW w:type="dxa" w:w="419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医療・介護連携／看取り／介護保険と医療保険の把握</w:t>
            </w:r>
          </w:p>
        </w:tc>
      </w:tr>
      <w:tr>
        <w:trPr>
          <w:cantSplit/>
        </w:trPr>
        <w:tc>
          <w:tcPr>
            <w:tcW w:type="dxa" w:w="1814"/>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資料4 訪問リハ</w:t>
            </w:r>
          </w:p>
        </w:tc>
        <w:tc>
          <w:tcPr>
            <w:tcW w:type="dxa" w:w="3685"/>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活動・参加の目標、退院退所時連携、事業所医師の関与</w:t>
            </w:r>
          </w:p>
        </w:tc>
        <w:tc>
          <w:tcPr>
            <w:tcW w:type="dxa" w:w="4195"/>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退院支援・在宅復帰・ADL/IADL・介護予防</w:t>
            </w:r>
          </w:p>
        </w:tc>
      </w:tr>
      <w:tr>
        <w:trPr>
          <w:cantSplit/>
        </w:trPr>
        <w:tc>
          <w:tcPr>
            <w:tcW w:type="dxa" w:w="1814"/>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資料5 居宅療養管理指導</w:t>
            </w:r>
          </w:p>
        </w:tc>
        <w:tc>
          <w:tcPr>
            <w:tcW w:type="dxa" w:w="368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薬剤師の訪問回数・間隔、管理栄養士の指導・栄養スクリーニング</w:t>
            </w:r>
          </w:p>
        </w:tc>
        <w:tc>
          <w:tcPr>
            <w:tcW w:type="dxa" w:w="419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在宅薬剤管理・低栄養予防・医療機関との接続</w:t>
            </w:r>
          </w:p>
        </w:tc>
      </w:tr>
      <w:tr>
        <w:trPr>
          <w:cantSplit/>
        </w:trPr>
        <w:tc>
          <w:tcPr>
            <w:tcW w:type="dxa" w:w="1814"/>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資料6 居宅介護支援</w:t>
            </w:r>
          </w:p>
        </w:tc>
        <w:tc>
          <w:tcPr>
            <w:tcW w:type="dxa" w:w="3685"/>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管理者要件、介護予防支援、ケアマネ業務効率化、権利擁護、障害高齢者</w:t>
            </w:r>
          </w:p>
        </w:tc>
        <w:tc>
          <w:tcPr>
            <w:tcW w:type="dxa" w:w="4195"/>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ケアマネ確保／地域包括支援センター／成年後見／65歳移行</w:t>
            </w:r>
          </w:p>
        </w:tc>
      </w:tr>
    </w:tbl>
    <w:p>
      <w:pPr>
        <w:spacing w:after="0"/>
      </w:pPr>
    </w:p>
    <w:p>
      <w:pPr>
        <w:pStyle w:val="Heading2"/>
        <w:keepNext/>
      </w:pPr>
      <w:r>
        <w:t>2. 重点論点と確認すべきデータ</w:t>
      </w:r>
    </w:p>
    <w:p>
      <w:pPr>
        <w:pStyle w:val="Heading3"/>
      </w:pPr>
      <w:r>
        <w:rPr>
          <w:b/>
        </w:rPr>
        <w:t>C-01 訪問介護の供給維持・協働化</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948"/>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審議事項</w:t>
            </w:r>
          </w:p>
        </w:tc>
        <w:tc>
          <w:tcPr>
            <w:tcW w:type="dxa" w:w="3231"/>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計画への反映</w:t>
            </w:r>
          </w:p>
        </w:tc>
        <w:tc>
          <w:tcPr>
            <w:tcW w:type="dxa" w:w="351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自治体が確認するエビデンス</w:t>
            </w:r>
          </w:p>
        </w:tc>
      </w:tr>
      <w:tr>
        <w:trPr>
          <w:cantSplit/>
        </w:trPr>
        <w:tc>
          <w:tcPr>
            <w:tcW w:type="dxa" w:w="2948"/>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地域の協働化、サービス提供責任者によるアセスメントの評価、オンライン面談、人口減少地域の戸別訪問に係る経営・移動負担を審議。</w:t>
            </w:r>
          </w:p>
        </w:tc>
        <w:tc>
          <w:tcPr>
            <w:tcW w:type="dxa" w:w="323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サービス見込量の根拠に、事業所供給可能量と未充足需要を追加。定期巡回・生活支援等との役割分担も検討。</w:t>
            </w:r>
          </w:p>
        </w:tc>
        <w:tc>
          <w:tcPr>
            <w:tcW w:type="dxa" w:w="351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事業所数・休廃止、訪問介護員の常勤換算、新規受入可否、訪問距離／時間、町外事業所依存、未充足事例。</w:t>
            </w:r>
          </w:p>
        </w:tc>
      </w:tr>
    </w:tbl>
    <w:p>
      <w:pPr>
        <w:spacing w:after="0"/>
      </w:pPr>
    </w:p>
    <w:p>
      <w:pPr>
        <w:spacing w:after="80"/>
      </w:pPr>
      <w:r>
        <w:rPr>
          <w:color w:val="606E7C"/>
          <w:sz w:val="14"/>
        </w:rPr>
        <w:t>根拠：資料1：PDF pp.22～25・27～　｜　扱い：審議中・対応案</w:t>
      </w:r>
    </w:p>
    <w:p>
      <w:pPr>
        <w:pStyle w:val="Heading3"/>
      </w:pPr>
      <w:r>
        <w:rPr>
          <w:b/>
        </w:rPr>
        <w:t>C-02 訪問入浴・重度者・看取り</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948"/>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審議事項</w:t>
            </w:r>
          </w:p>
        </w:tc>
        <w:tc>
          <w:tcPr>
            <w:tcW w:type="dxa" w:w="3231"/>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計画への反映</w:t>
            </w:r>
          </w:p>
        </w:tc>
        <w:tc>
          <w:tcPr>
            <w:tcW w:type="dxa" w:w="351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自治体が確認するエビデンス</w:t>
            </w:r>
          </w:p>
        </w:tc>
      </w:tr>
      <w:tr>
        <w:trPr>
          <w:cantSplit/>
        </w:trPr>
        <w:tc>
          <w:tcPr>
            <w:tcW w:type="dxa" w:w="2948"/>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重度者や医療的ケアを要する人へのサービス確保、事業所減少・偏在、看取りとの接続、住まい別の評価。資料では医療的ケアを受ける利用者が約66％。</w:t>
            </w:r>
          </w:p>
        </w:tc>
        <w:tc>
          <w:tcPr>
            <w:tcW w:type="dxa" w:w="323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少数利用でも機能維持が重要なサービスとして、圏域利用と受入余力を点検。訪問看護との機能連携を位置付ける。</w:t>
            </w:r>
          </w:p>
        </w:tc>
        <w:tc>
          <w:tcPr>
            <w:tcW w:type="dxa" w:w="351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要介護度別利用者、受入可能日数、看護職員、対応可能地域、待機・断り件数、他市町村利用。</w:t>
            </w:r>
          </w:p>
        </w:tc>
      </w:tr>
    </w:tbl>
    <w:p>
      <w:pPr>
        <w:spacing w:after="0"/>
      </w:pPr>
    </w:p>
    <w:p>
      <w:pPr>
        <w:spacing w:after="80"/>
      </w:pPr>
      <w:r>
        <w:rPr>
          <w:color w:val="606E7C"/>
          <w:sz w:val="14"/>
        </w:rPr>
        <w:t>根拠：資料2：PDF pp.6～13　｜　扱い：審議中・対応案</w:t>
      </w:r>
    </w:p>
    <w:p>
      <w:pPr>
        <w:pStyle w:val="Heading3"/>
      </w:pPr>
      <w:r>
        <w:rPr>
          <w:b/>
        </w:rPr>
        <w:t>C-03 訪問看護・医療介護連携</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948"/>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審議事項</w:t>
            </w:r>
          </w:p>
        </w:tc>
        <w:tc>
          <w:tcPr>
            <w:tcW w:type="dxa" w:w="3231"/>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計画への反映</w:t>
            </w:r>
          </w:p>
        </w:tc>
        <w:tc>
          <w:tcPr>
            <w:tcW w:type="dxa" w:w="351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自治体が確認するエビデンス</w:t>
            </w:r>
          </w:p>
        </w:tc>
      </w:tr>
      <w:tr>
        <w:trPr>
          <w:cantSplit/>
        </w:trPr>
        <w:tc>
          <w:tcPr>
            <w:tcW w:type="dxa" w:w="2948"/>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夜間緊急時・ターミナルケア、医療情報の共有、残薬確認、ICT活用、専門的ケア評価等を検討。</w:t>
            </w:r>
          </w:p>
        </w:tc>
        <w:tc>
          <w:tcPr>
            <w:tcW w:type="dxa" w:w="323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医療計画・在宅医療体制との整合、看取り・認知症・多疾患対応を記載。医療保険分の訪問看護需要も別途把握。</w:t>
            </w:r>
          </w:p>
        </w:tc>
        <w:tc>
          <w:tcPr>
            <w:tcW w:type="dxa" w:w="351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24時間対応事業所、介護／医療保険別利用者、退院調整、ターミナル実績、看護職員数。</w:t>
            </w:r>
          </w:p>
        </w:tc>
      </w:tr>
    </w:tbl>
    <w:p>
      <w:pPr>
        <w:spacing w:after="0"/>
      </w:pPr>
    </w:p>
    <w:p>
      <w:pPr>
        <w:spacing w:after="80"/>
      </w:pPr>
      <w:r>
        <w:rPr>
          <w:color w:val="606E7C"/>
          <w:sz w:val="14"/>
        </w:rPr>
        <w:t>根拠：資料3：PDF pp.32～35等　｜　扱い：審議中・対応案</w:t>
      </w:r>
    </w:p>
    <w:p>
      <w:pPr>
        <w:pStyle w:val="Heading3"/>
      </w:pPr>
      <w:r>
        <w:rPr>
          <w:b/>
        </w:rPr>
        <w:t>C-04 訪問リハ・居宅療養管理指導</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948"/>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審議事項</w:t>
            </w:r>
          </w:p>
        </w:tc>
        <w:tc>
          <w:tcPr>
            <w:tcW w:type="dxa" w:w="3231"/>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計画への反映</w:t>
            </w:r>
          </w:p>
        </w:tc>
        <w:tc>
          <w:tcPr>
            <w:tcW w:type="dxa" w:w="351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自治体が確認するエビデンス</w:t>
            </w:r>
          </w:p>
        </w:tc>
      </w:tr>
      <w:tr>
        <w:trPr>
          <w:cantSplit/>
        </w:trPr>
        <w:tc>
          <w:tcPr>
            <w:tcW w:type="dxa" w:w="2948"/>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活動・社会参加目標の評価、退院・退所時連携、薬剤管理の頻度、栄養指導の対象拡大等。</w:t>
            </w:r>
          </w:p>
        </w:tc>
        <w:tc>
          <w:tcPr>
            <w:tcW w:type="dxa" w:w="323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自立支援・介護予防と在宅復帰施策に接続。利用延べ回数だけでなく、在宅生活の成果も確認。</w:t>
            </w:r>
          </w:p>
        </w:tc>
        <w:tc>
          <w:tcPr>
            <w:tcW w:type="dxa" w:w="351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退院後の開始時期、ADL／IADL指標、要支援者利用、薬剤・栄養サービスの地域偏在。</w:t>
            </w:r>
          </w:p>
        </w:tc>
      </w:tr>
    </w:tbl>
    <w:p>
      <w:pPr>
        <w:spacing w:after="0"/>
      </w:pPr>
    </w:p>
    <w:p>
      <w:pPr>
        <w:spacing w:after="80"/>
      </w:pPr>
      <w:r>
        <w:rPr>
          <w:color w:val="606E7C"/>
          <w:sz w:val="14"/>
        </w:rPr>
        <w:t>根拠：資料4：PDF pp.13～17／資料5：PDF pp.7～20　｜　扱い：審議中・対応案</w:t>
      </w:r>
    </w:p>
    <w:p>
      <w:pPr>
        <w:pStyle w:val="Heading3"/>
      </w:pPr>
      <w:r>
        <w:rPr>
          <w:b/>
        </w:rPr>
        <w:t>C-05 ケアマネ人材・介護予防支援・権利擁護</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948"/>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審議事項</w:t>
            </w:r>
          </w:p>
        </w:tc>
        <w:tc>
          <w:tcPr>
            <w:tcW w:type="dxa" w:w="3231"/>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計画への反映</w:t>
            </w:r>
          </w:p>
        </w:tc>
        <w:tc>
          <w:tcPr>
            <w:tcW w:type="dxa" w:w="351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自治体が確認するエビデンス</w:t>
            </w:r>
          </w:p>
        </w:tc>
      </w:tr>
      <w:tr>
        <w:trPr>
          <w:cantSplit/>
        </w:trPr>
        <w:tc>
          <w:tcPr>
            <w:tcW w:type="dxa" w:w="2948"/>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主任ケアマネ管理者要件の見直し案、ケアマネの業務負担・研修、介護予防支援の指定・委託、成年後見・利用援助、障害高齢者の調整。</w:t>
            </w:r>
          </w:p>
        </w:tc>
        <w:tc>
          <w:tcPr>
            <w:tcW w:type="dxa" w:w="323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人材確保・包括支援センターの負荷軽減・権利擁護・障害福祉との65歳接続を計画体系に位置付ける。</w:t>
            </w:r>
          </w:p>
        </w:tc>
        <w:tc>
          <w:tcPr>
            <w:tcW w:type="dxa" w:w="351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管理者資格・経験、主任ケアマネ人数、包括からの委託件数、ケアプラン作成受入枠、障害高齢者の調整案件。</w:t>
            </w:r>
          </w:p>
        </w:tc>
      </w:tr>
    </w:tbl>
    <w:p>
      <w:pPr>
        <w:spacing w:after="0"/>
      </w:pPr>
    </w:p>
    <w:p>
      <w:pPr>
        <w:spacing w:after="80"/>
      </w:pPr>
      <w:r>
        <w:rPr>
          <w:color w:val="606E7C"/>
          <w:sz w:val="14"/>
        </w:rPr>
        <w:t>根拠：資料6：PDF pp.27～34・42～47　｜　扱い：審議中・対応案</w:t>
      </w:r>
    </w:p>
    <w:p>
      <w:pPr>
        <w:pStyle w:val="Heading2"/>
        <w:keepNext/>
      </w:pPr>
      <w:r>
        <w:t>3. 給付費・第1号保険料推計に反映する順番</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417"/>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段階</w:t>
            </w:r>
          </w:p>
        </w:tc>
        <w:tc>
          <w:tcPr>
            <w:tcW w:type="dxa" w:w="4139"/>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実施内容</w:t>
            </w:r>
          </w:p>
        </w:tc>
        <w:tc>
          <w:tcPr>
            <w:tcW w:type="dxa" w:w="4139"/>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注意点</w:t>
            </w:r>
          </w:p>
        </w:tc>
      </w:tr>
      <w:tr>
        <w:trPr>
          <w:cantSplit/>
        </w:trPr>
        <w:tc>
          <w:tcPr>
            <w:tcW w:type="dxa" w:w="1417"/>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① 自然体推計</w:t>
            </w:r>
          </w:p>
        </w:tc>
        <w:tc>
          <w:tcPr>
            <w:tcW w:type="dxa" w:w="4139"/>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現行制度の実績、利用率、要介護度別構成、地域区分と現行単価で推計。</w:t>
            </w:r>
          </w:p>
        </w:tc>
        <w:tc>
          <w:tcPr>
            <w:tcW w:type="dxa" w:w="4139"/>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供給不足による利用抑制の可能性を注記。</w:t>
            </w:r>
          </w:p>
        </w:tc>
      </w:tr>
      <w:tr>
        <w:trPr>
          <w:cantSplit/>
        </w:trPr>
        <w:tc>
          <w:tcPr>
            <w:tcW w:type="dxa" w:w="1417"/>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② 供給制約の補正</w:t>
            </w:r>
          </w:p>
        </w:tc>
        <w:tc>
          <w:tcPr>
            <w:tcW w:type="dxa" w:w="4139"/>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事業所休廃止・人材不足・広域サービス・新規事業整備をサービス量に反映。</w:t>
            </w:r>
          </w:p>
        </w:tc>
        <w:tc>
          <w:tcPr>
            <w:tcW w:type="dxa" w:w="4139"/>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人口比例の機械推計のみで終わらせない。</w:t>
            </w:r>
          </w:p>
        </w:tc>
      </w:tr>
      <w:tr>
        <w:trPr>
          <w:cantSplit/>
        </w:trPr>
        <w:tc>
          <w:tcPr>
            <w:tcW w:type="dxa" w:w="1417"/>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③ 報酬確定後再計算</w:t>
            </w:r>
          </w:p>
        </w:tc>
        <w:tc>
          <w:tcPr>
            <w:tcW w:type="dxa" w:w="4139"/>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令和9年度告示の単位数・加減算・算定要件を反映。</w:t>
            </w:r>
          </w:p>
        </w:tc>
        <w:tc>
          <w:tcPr>
            <w:tcW w:type="dxa" w:w="4139"/>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審議会の対応案を確定単価として先取りしない。</w:t>
            </w:r>
          </w:p>
        </w:tc>
      </w:tr>
    </w:tbl>
    <w:p>
      <w:pPr>
        <w:spacing w:after="0"/>
      </w:pPr>
    </w:p>
    <w:p>
      <w:r>
        <w:br w:type="page"/>
      </w:r>
    </w:p>
    <w:p>
      <w:pPr>
        <w:pStyle w:val="Heading1"/>
        <w:keepNext/>
      </w:pPr>
      <w:r>
        <w:t>Ⅱ　第160回障害者部会：第8期障害福祉計画</w:t>
      </w:r>
    </w:p>
    <w:p>
      <w:r>
        <w:t>日時：令和8年10月20日　｜　議題：障害保健福祉施策の動向等　｜　資料1～3</w:t>
      </w:r>
    </w:p>
    <w:p>
      <w:pPr>
        <w:pStyle w:val="Heading2"/>
        <w:keepNext/>
      </w:pPr>
      <w:r>
        <w:t>1. 資料別の概要</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757"/>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資料</w:t>
            </w:r>
          </w:p>
        </w:tc>
        <w:tc>
          <w:tcPr>
            <w:tcW w:type="dxa" w:w="3912"/>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確認できた内容</w:t>
            </w:r>
          </w:p>
        </w:tc>
        <w:tc>
          <w:tcPr>
            <w:tcW w:type="dxa" w:w="402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第8期計画への影響</w:t>
            </w:r>
          </w:p>
        </w:tc>
      </w:tr>
      <w:tr>
        <w:trPr>
          <w:cantSplit/>
        </w:trPr>
        <w:tc>
          <w:tcPr>
            <w:tcW w:type="dxa" w:w="1757"/>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資料1／55頁</w:t>
            </w:r>
          </w:p>
        </w:tc>
        <w:tc>
          <w:tcPr>
            <w:tcW w:type="dxa" w:w="3912"/>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障害福祉報酬改定検討チーム第63回（訪問系）・第64回（就労系）の論点と検討の方向性。</w:t>
            </w:r>
          </w:p>
        </w:tc>
        <w:tc>
          <w:tcPr>
            <w:tcW w:type="dxa" w:w="402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居宅介護・重度訪問介護・行動援護・同行援護、就労移行／A型／B型／就労選択等の提供体制。</w:t>
            </w:r>
          </w:p>
        </w:tc>
      </w:tr>
      <w:tr>
        <w:trPr>
          <w:cantSplit/>
        </w:trPr>
        <w:tc>
          <w:tcPr>
            <w:tcW w:type="dxa" w:w="1757"/>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資料2／11.4MB</w:t>
            </w:r>
          </w:p>
        </w:tc>
        <w:tc>
          <w:tcPr>
            <w:tcW w:type="dxa" w:w="3912"/>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「障害福祉分野における特定地域（中山間・人口減少地域）の考え方」。公開と題名を確認。本文詳細は要再照合。</w:t>
            </w:r>
          </w:p>
        </w:tc>
        <w:tc>
          <w:tcPr>
            <w:tcW w:type="dxa" w:w="4025"/>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特定地域の指定可否、対象サービス、基準緩和・確保策の適用範囲を精査。介護保険の判定基準を流用しない。</w:t>
            </w:r>
          </w:p>
        </w:tc>
      </w:tr>
      <w:tr>
        <w:trPr>
          <w:cantSplit/>
        </w:trPr>
        <w:tc>
          <w:tcPr>
            <w:tcW w:type="dxa" w:w="1757"/>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資料3／7頁</w:t>
            </w:r>
          </w:p>
        </w:tc>
        <w:tc>
          <w:tcPr>
            <w:tcW w:type="dxa" w:w="3912"/>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自立支援医療の経過的特例：令和9年3月31日終了予定、令和12年3月末までの延長案。</w:t>
            </w:r>
          </w:p>
        </w:tc>
        <w:tc>
          <w:tcPr>
            <w:tcW w:type="dxa" w:w="402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育成医療・更生医療・精神通院医療の継続利用、周知・相談・費用負担。</w:t>
            </w:r>
          </w:p>
        </w:tc>
      </w:tr>
    </w:tbl>
    <w:p>
      <w:pPr>
        <w:spacing w:after="0"/>
      </w:pPr>
    </w:p>
    <w:p>
      <w:pPr>
        <w:pStyle w:val="Heading2"/>
        <w:keepNext/>
      </w:pPr>
      <w:r>
        <w:t>2. 訪問系サービス（第63回の検討）</w:t>
      </w:r>
    </w:p>
    <w:p>
      <w:pPr>
        <w:pStyle w:val="Heading3"/>
      </w:pPr>
      <w:r>
        <w:rPr>
          <w:b/>
        </w:rPr>
        <w:t>D-01 移動支援の評価・ピアサポート</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948"/>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審議事項</w:t>
            </w:r>
          </w:p>
        </w:tc>
        <w:tc>
          <w:tcPr>
            <w:tcW w:type="dxa" w:w="3231"/>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計画への反映</w:t>
            </w:r>
          </w:p>
        </w:tc>
        <w:tc>
          <w:tcPr>
            <w:tcW w:type="dxa" w:w="351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自治体が確認するエビデンス</w:t>
            </w:r>
          </w:p>
        </w:tc>
      </w:tr>
      <w:tr>
        <w:trPr>
          <w:cantSplit/>
        </w:trPr>
        <w:tc>
          <w:tcPr>
            <w:tcW w:type="dxa" w:w="2948"/>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訪問系サービスにおけるピアサポートの評価、公共交通が乏しい地域で支援場所まで自動車同乗して移動する場面の評価を検討。</w:t>
            </w:r>
          </w:p>
        </w:tc>
        <w:tc>
          <w:tcPr>
            <w:tcW w:type="dxa" w:w="323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通所・外出が困難な地域のアクセス確保。相談支援、同行援護・行動援護、移動手段の実態を施策に反映。</w:t>
            </w:r>
          </w:p>
        </w:tc>
        <w:tc>
          <w:tcPr>
            <w:tcW w:type="dxa" w:w="351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対象者の居住分布、公共交通、送迎・移動時間、訪問系事業所数、ピアサポート研修修了者。</w:t>
            </w:r>
          </w:p>
        </w:tc>
      </w:tr>
    </w:tbl>
    <w:p>
      <w:pPr>
        <w:spacing w:after="0"/>
      </w:pPr>
    </w:p>
    <w:p>
      <w:pPr>
        <w:spacing w:after="80"/>
      </w:pPr>
      <w:r>
        <w:rPr>
          <w:color w:val="606E7C"/>
          <w:sz w:val="14"/>
        </w:rPr>
        <w:t>根拠：資料1：PDF pp.3～6　｜　扱い：審議中・対応案</w:t>
      </w:r>
    </w:p>
    <w:p>
      <w:pPr>
        <w:pStyle w:val="Heading3"/>
      </w:pPr>
      <w:r>
        <w:rPr>
          <w:b/>
        </w:rPr>
        <w:t>D-02 居宅介護・重度訪問介護の住宅類型別評価</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948"/>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審議事項</w:t>
            </w:r>
          </w:p>
        </w:tc>
        <w:tc>
          <w:tcPr>
            <w:tcW w:type="dxa" w:w="3231"/>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計画への反映</w:t>
            </w:r>
          </w:p>
        </w:tc>
        <w:tc>
          <w:tcPr>
            <w:tcW w:type="dxa" w:w="351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自治体が確認するエビデンス</w:t>
            </w:r>
          </w:p>
        </w:tc>
      </w:tr>
      <w:tr>
        <w:trPr>
          <w:cantSplit/>
        </w:trPr>
        <w:tc>
          <w:tcPr>
            <w:tcW w:type="dxa" w:w="2948"/>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同一建物等の減算要件の見直し、家事援助の適正な利用、重度訪問介護への同一建物等減算導入を検討。</w:t>
            </w:r>
          </w:p>
        </w:tc>
        <w:tc>
          <w:tcPr>
            <w:tcW w:type="dxa" w:w="323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見込量を住宅形態別・支援の必要度別に精査。家事援助は「家事代行」と同一視しない。</w:t>
            </w:r>
          </w:p>
        </w:tc>
        <w:tc>
          <w:tcPr>
            <w:tcW w:type="dxa" w:w="351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サービス利用時間、同一建物利用者、精神障害・重度障害の状態像、相談支援のモニタリング内容。</w:t>
            </w:r>
          </w:p>
        </w:tc>
      </w:tr>
    </w:tbl>
    <w:p>
      <w:pPr>
        <w:spacing w:after="0"/>
      </w:pPr>
    </w:p>
    <w:p>
      <w:pPr>
        <w:spacing w:after="80"/>
      </w:pPr>
      <w:r>
        <w:rPr>
          <w:color w:val="606E7C"/>
          <w:sz w:val="14"/>
        </w:rPr>
        <w:t>根拠：資料1：PDF pp.7～11　｜　扱い：審議中・対応案</w:t>
      </w:r>
    </w:p>
    <w:p>
      <w:pPr>
        <w:pStyle w:val="Heading3"/>
      </w:pPr>
      <w:r>
        <w:rPr>
          <w:b/>
        </w:rPr>
        <w:t>D-03 専門人材・経過措置・重度障害者等包括支援</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948"/>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審議事項</w:t>
            </w:r>
          </w:p>
        </w:tc>
        <w:tc>
          <w:tcPr>
            <w:tcW w:type="dxa" w:w="3231"/>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計画への反映</w:t>
            </w:r>
          </w:p>
        </w:tc>
        <w:tc>
          <w:tcPr>
            <w:tcW w:type="dxa" w:w="351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自治体が確認するエビデンス</w:t>
            </w:r>
          </w:p>
        </w:tc>
      </w:tr>
      <w:tr>
        <w:trPr>
          <w:cantSplit/>
        </w:trPr>
        <w:tc>
          <w:tcPr>
            <w:tcW w:type="dxa" w:w="2948"/>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同行援護従業者の経過措置の廃止案、行動援護の経過措置の条件付き延長案、重度障害者等包括支援の実施状況を提示。</w:t>
            </w:r>
          </w:p>
        </w:tc>
        <w:tc>
          <w:tcPr>
            <w:tcW w:type="dxa" w:w="323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資格保有者や重度者の受入先確保を確認。経過措置終了により供給が縮小するリスクを点検。</w:t>
            </w:r>
          </w:p>
        </w:tc>
        <w:tc>
          <w:tcPr>
            <w:tcW w:type="dxa" w:w="351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同行援護・行動援護の研修修了者、経過措置該当者、受入停止、重度障害者等包括支援の広域供給。</w:t>
            </w:r>
          </w:p>
        </w:tc>
      </w:tr>
    </w:tbl>
    <w:p>
      <w:pPr>
        <w:spacing w:after="0"/>
      </w:pPr>
    </w:p>
    <w:p>
      <w:pPr>
        <w:spacing w:after="80"/>
      </w:pPr>
      <w:r>
        <w:rPr>
          <w:color w:val="606E7C"/>
          <w:sz w:val="14"/>
        </w:rPr>
        <w:t>根拠：資料1：PDF pp.12～17　｜　扱い：審議中・対応案</w:t>
      </w:r>
    </w:p>
    <w:p>
      <w:pPr>
        <w:pStyle w:val="Heading2"/>
        <w:keepNext/>
      </w:pPr>
      <w:r>
        <w:t>3. 就労系サービス（第64回の検討）</w:t>
      </w:r>
    </w:p>
    <w:p>
      <w:pPr>
        <w:pStyle w:val="Heading3"/>
      </w:pPr>
      <w:r>
        <w:rPr>
          <w:b/>
        </w:rPr>
        <w:t>D-04 一般就労への移行・職場定着</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948"/>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審議事項</w:t>
            </w:r>
          </w:p>
        </w:tc>
        <w:tc>
          <w:tcPr>
            <w:tcW w:type="dxa" w:w="3231"/>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計画への反映</w:t>
            </w:r>
          </w:p>
        </w:tc>
        <w:tc>
          <w:tcPr>
            <w:tcW w:type="dxa" w:w="351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自治体が確認するエビデンス</w:t>
            </w:r>
          </w:p>
        </w:tc>
      </w:tr>
      <w:tr>
        <w:trPr>
          <w:cantSplit/>
        </w:trPr>
        <w:tc>
          <w:tcPr>
            <w:tcW w:type="dxa" w:w="2948"/>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就労移行支援体制加算の見直し、送り出し後6か月の継続支援、再就職時の支援継続、定着者の評価を検討。</w:t>
            </w:r>
          </w:p>
        </w:tc>
        <w:tc>
          <w:tcPr>
            <w:tcW w:type="dxa" w:w="323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一般就労移行者数だけでなく、6か月・1年の定着、離職後の再接続、企業との連携を成果評価に追加検討。</w:t>
            </w:r>
          </w:p>
        </w:tc>
        <w:tc>
          <w:tcPr>
            <w:tcW w:type="dxa" w:w="351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就労移行支援／A型／B型の移行者数、就職先、定着状況、ハローワーク・企業連携。</w:t>
            </w:r>
          </w:p>
        </w:tc>
      </w:tr>
    </w:tbl>
    <w:p>
      <w:pPr>
        <w:spacing w:after="0"/>
      </w:pPr>
    </w:p>
    <w:p>
      <w:pPr>
        <w:spacing w:after="80"/>
      </w:pPr>
      <w:r>
        <w:rPr>
          <w:color w:val="606E7C"/>
          <w:sz w:val="14"/>
        </w:rPr>
        <w:t>根拠：資料1：PDF pp.19～22・47～49　｜　扱い：審議中・対応案</w:t>
      </w:r>
    </w:p>
    <w:p>
      <w:pPr>
        <w:pStyle w:val="Heading3"/>
      </w:pPr>
      <w:r>
        <w:rPr>
          <w:b/>
        </w:rPr>
        <w:t>D-05 在宅就労・施設外就労の適正化</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948"/>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審議事項</w:t>
            </w:r>
          </w:p>
        </w:tc>
        <w:tc>
          <w:tcPr>
            <w:tcW w:type="dxa" w:w="3231"/>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計画への反映</w:t>
            </w:r>
          </w:p>
        </w:tc>
        <w:tc>
          <w:tcPr>
            <w:tcW w:type="dxa" w:w="351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自治体が確認するエビデンス</w:t>
            </w:r>
          </w:p>
        </w:tc>
      </w:tr>
      <w:tr>
        <w:trPr>
          <w:cantSplit/>
        </w:trPr>
        <w:tc>
          <w:tcPr>
            <w:tcW w:type="dxa" w:w="2948"/>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在宅支援の対象者類型・事業所要件・遠隔支援の記録、施設外就労の支援実態、支給決定時の確認強化を検討。</w:t>
            </w:r>
          </w:p>
        </w:tc>
        <w:tc>
          <w:tcPr>
            <w:tcW w:type="dxa" w:w="323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通所困難者への選択肢を確保しつつ、在宅利用が適切な支援を伴うか確認。市町村の支給決定と指定権者の指導は分担。</w:t>
            </w:r>
          </w:p>
        </w:tc>
        <w:tc>
          <w:tcPr>
            <w:tcW w:type="dxa" w:w="351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在宅就労利用者・理由、本人のアセスメント、事業所プログラム、支給決定の更新記録、施設外就労先。</w:t>
            </w:r>
          </w:p>
        </w:tc>
      </w:tr>
    </w:tbl>
    <w:p>
      <w:pPr>
        <w:spacing w:after="0"/>
      </w:pPr>
    </w:p>
    <w:p>
      <w:pPr>
        <w:spacing w:after="80"/>
      </w:pPr>
      <w:r>
        <w:rPr>
          <w:color w:val="606E7C"/>
          <w:sz w:val="14"/>
        </w:rPr>
        <w:t>根拠：資料1：PDF pp.23～29・38～40　｜　扱い：審議中・対応案</w:t>
      </w:r>
    </w:p>
    <w:p>
      <w:pPr>
        <w:pStyle w:val="Heading3"/>
      </w:pPr>
      <w:r>
        <w:rPr>
          <w:b/>
        </w:rPr>
        <w:t>D-06 A型・B型の報酬評価と就労選択支援</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948"/>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審議事項</w:t>
            </w:r>
          </w:p>
        </w:tc>
        <w:tc>
          <w:tcPr>
            <w:tcW w:type="dxa" w:w="3231"/>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計画への反映</w:t>
            </w:r>
          </w:p>
        </w:tc>
        <w:tc>
          <w:tcPr>
            <w:tcW w:type="dxa" w:w="351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自治体が確認するエビデンス</w:t>
            </w:r>
          </w:p>
        </w:tc>
      </w:tr>
      <w:tr>
        <w:trPr>
          <w:cantSplit/>
        </w:trPr>
        <w:tc>
          <w:tcPr>
            <w:tcW w:type="dxa" w:w="2948"/>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A型のスコア配点（支援の質）見直し、B型の工賃偏重を改めるスコア導入案、就労選択支援の令和9年4月からの対象・運用を検討。</w:t>
            </w:r>
          </w:p>
        </w:tc>
        <w:tc>
          <w:tcPr>
            <w:tcW w:type="dxa" w:w="323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見込量・確保方策でB型受入体制、質、工賃、利用時間、重度者受入、就労選択支援へのアクセスを並行して評価。</w:t>
            </w:r>
          </w:p>
        </w:tc>
        <w:tc>
          <w:tcPr>
            <w:tcW w:type="dxa" w:w="351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事業所別定員・平均工賃・就労時間・支援体制、就労選択支援実施事業所、特別支援学校卒業予定者の利用意向。</w:t>
            </w:r>
          </w:p>
        </w:tc>
      </w:tr>
    </w:tbl>
    <w:p>
      <w:pPr>
        <w:spacing w:after="0"/>
      </w:pPr>
    </w:p>
    <w:p>
      <w:pPr>
        <w:spacing w:after="80"/>
      </w:pPr>
      <w:r>
        <w:rPr>
          <w:color w:val="606E7C"/>
          <w:sz w:val="14"/>
        </w:rPr>
        <w:t>根拠：資料1：PDF pp.38～46・49～55　｜　扱い：審議中・対応案</w:t>
      </w:r>
    </w:p>
    <w:tbl>
      <w:tblPr>
        <w:tblW w:type="auto" w:w="0"/>
        <w:tblLook w:firstColumn="1" w:firstRow="1" w:lastColumn="0" w:lastRow="0" w:noHBand="0" w:noVBand="1" w:val="04A0"/>
      </w:tblPr>
      <w:tblGrid>
        <w:gridCol w:w="9922"/>
      </w:tblGrid>
      <w:tr>
        <w:tc>
          <w:tcPr>
            <w:tcW w:type="dxa" w:w="9922"/>
            <w:shd w:fill="E7F0F8"/>
            <w:tcBorders>
              <w:top w:val="single" w:sz="5" w:color="D6E1EC"/>
              <w:left w:val="single" w:sz="5" w:color="D6E1EC"/>
              <w:bottom w:val="single" w:sz="5" w:color="D6E1EC"/>
              <w:right w:val="single" w:sz="5" w:color="D6E1EC"/>
            </w:tcBorders>
          </w:tcPr>
          <w:p>
            <w:pPr>
              <w:spacing w:after="60"/>
            </w:pPr>
            <w:r>
              <w:rPr>
                <w:b/>
                <w:color w:val="1C3F62"/>
                <w:sz w:val="18"/>
              </w:rPr>
              <w:t xml:space="preserve">実務上の重要点　</w:t>
            </w:r>
            <w:r>
              <w:rPr>
                <w:color w:val="293541"/>
                <w:sz w:val="17"/>
              </w:rPr>
              <w:t>資料1の在宅支援・就労選択支援の審議は、計画の「成果目標」だけでなく、市町村の支給決定事務・サービス等利用計画・モニタリング体制にも影響する。施行前に確定ルールと誤認しない。</w:t>
            </w:r>
          </w:p>
        </w:tc>
      </w:tr>
    </w:tbl>
    <w:p>
      <w:pPr>
        <w:spacing w:after="0"/>
      </w:pPr>
    </w:p>
    <w:p>
      <w:pPr>
        <w:pStyle w:val="Heading2"/>
        <w:keepNext/>
      </w:pPr>
      <w:r>
        <w:t>4. 特定地域（中山間・人口減少地域）：確認の枠組み</w:t>
      </w:r>
    </w:p>
    <w:p>
      <w:r>
        <w:t>第160回資料2は「特定地域の考え方」を議題とする。関連する第154回資料では、中山間・小規模地域における利用減少・人材確保の課題が議論されている。対象地域の確定判定や適用基準は第160回資料2本文および最終通知での確認が必要。</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757"/>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論点</w:t>
            </w:r>
          </w:p>
        </w:tc>
        <w:tc>
          <w:tcPr>
            <w:tcW w:type="dxa" w:w="3969"/>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自治体が整理する情報</w:t>
            </w:r>
          </w:p>
        </w:tc>
        <w:tc>
          <w:tcPr>
            <w:tcW w:type="dxa" w:w="3969"/>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計画上の位置づけ</w:t>
            </w:r>
          </w:p>
        </w:tc>
      </w:tr>
      <w:tr>
        <w:trPr>
          <w:cantSplit/>
        </w:trPr>
        <w:tc>
          <w:tcPr>
            <w:tcW w:type="dxa" w:w="1757"/>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地域要件・適用範囲</w:t>
            </w:r>
          </w:p>
        </w:tc>
        <w:tc>
          <w:tcPr>
            <w:tcW w:type="dxa" w:w="3969"/>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国が示す指定要件の原文、区域単位、指定権者、対象サービス、適用開始日</w:t>
            </w:r>
          </w:p>
        </w:tc>
        <w:tc>
          <w:tcPr>
            <w:tcW w:type="dxa" w:w="3969"/>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該当可否の根拠管理。人口が少ないだけで該当と断定しない。</w:t>
            </w:r>
          </w:p>
        </w:tc>
      </w:tr>
      <w:tr>
        <w:trPr>
          <w:cantSplit/>
        </w:trPr>
        <w:tc>
          <w:tcPr>
            <w:tcW w:type="dxa" w:w="1757"/>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需給・供給制約</w:t>
            </w:r>
          </w:p>
        </w:tc>
        <w:tc>
          <w:tcPr>
            <w:tcW w:type="dxa" w:w="3969"/>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サービス別利用者、人口推移、事業所・従業者、移動時間、県外・圏域外利用</w:t>
            </w:r>
          </w:p>
        </w:tc>
        <w:tc>
          <w:tcPr>
            <w:tcW w:type="dxa" w:w="3969"/>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必要量・供給可能量・広域確保方策を区別。</w:t>
            </w:r>
          </w:p>
        </w:tc>
      </w:tr>
      <w:tr>
        <w:trPr>
          <w:cantSplit/>
        </w:trPr>
        <w:tc>
          <w:tcPr>
            <w:tcW w:type="dxa" w:w="1757"/>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実施手段</w:t>
            </w:r>
          </w:p>
        </w:tc>
        <w:tc>
          <w:tcPr>
            <w:tcW w:type="dxa" w:w="3969"/>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共生型サービス、基準該当、事業所間連携、拠点化、移動支援、人材育成</w:t>
            </w:r>
          </w:p>
        </w:tc>
        <w:tc>
          <w:tcPr>
            <w:tcW w:type="dxa" w:w="3969"/>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特例の適用前から利用できる現行手段を含め検討。</w:t>
            </w:r>
          </w:p>
        </w:tc>
      </w:tr>
    </w:tbl>
    <w:p>
      <w:pPr>
        <w:spacing w:after="0"/>
      </w:pPr>
    </w:p>
    <w:tbl>
      <w:tblPr>
        <w:tblW w:type="auto" w:w="0"/>
        <w:tblLook w:firstColumn="1" w:firstRow="1" w:lastColumn="0" w:lastRow="0" w:noHBand="0" w:noVBand="1" w:val="04A0"/>
      </w:tblPr>
      <w:tblGrid>
        <w:gridCol w:w="9922"/>
      </w:tblGrid>
      <w:tr>
        <w:tc>
          <w:tcPr>
            <w:tcW w:type="dxa" w:w="9922"/>
            <w:shd w:fill="FFF3D8"/>
            <w:tcBorders>
              <w:top w:val="single" w:sz="5" w:color="D6E1EC"/>
              <w:left w:val="single" w:sz="5" w:color="D6E1EC"/>
              <w:bottom w:val="single" w:sz="5" w:color="D6E1EC"/>
              <w:right w:val="single" w:sz="5" w:color="D6E1EC"/>
            </w:tcBorders>
          </w:tcPr>
          <w:p>
            <w:pPr>
              <w:spacing w:after="60"/>
            </w:pPr>
            <w:r>
              <w:rPr>
                <w:b/>
                <w:color w:val="1C3F62"/>
                <w:sz w:val="18"/>
              </w:rPr>
              <w:t xml:space="preserve">検証上の制約　</w:t>
            </w:r>
            <w:r>
              <w:rPr>
                <w:color w:val="293541"/>
                <w:sz w:val="17"/>
              </w:rPr>
              <w:t>第160回資料2の本文全頁を本作業では確認できていない。上表は「審議会の採択済み基準」の要約ではなく、資料題目と過去の関連資料から導いた計画レビュー用の確認枠組みである。</w:t>
            </w:r>
          </w:p>
        </w:tc>
      </w:tr>
    </w:tbl>
    <w:p>
      <w:pPr>
        <w:spacing w:after="0"/>
      </w:pPr>
    </w:p>
    <w:p>
      <w:pPr>
        <w:pStyle w:val="Heading2"/>
        <w:keepNext/>
      </w:pPr>
      <w:r>
        <w:t>5. 自立支援医療：2027年3月末の期限と延長案</w:t>
      </w:r>
    </w:p>
    <w:p>
      <w:r>
        <w:t>第160回資料3では、育成医療の中間所得層および「重度かつ継続」の一定所得以上に対する自己負担上限の経過的特例を、令和12年3月末まで延長する案が提示されている。令和6年度の育成医療受給者の中間所得層は83.1％、一定所得以上の「重度かつ継続」の支給決定件数は132,392件（全国）。</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757"/>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区分</w:t>
            </w:r>
          </w:p>
        </w:tc>
        <w:tc>
          <w:tcPr>
            <w:tcW w:type="dxa" w:w="2891"/>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10月20日時点の取扱い</w:t>
            </w:r>
          </w:p>
        </w:tc>
        <w:tc>
          <w:tcPr>
            <w:tcW w:type="dxa" w:w="5046"/>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自治体・計画上の対応</w:t>
            </w:r>
          </w:p>
        </w:tc>
      </w:tr>
      <w:tr>
        <w:trPr>
          <w:cantSplit/>
        </w:trPr>
        <w:tc>
          <w:tcPr>
            <w:tcW w:type="dxa" w:w="1757"/>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現行の期限</w:t>
            </w:r>
          </w:p>
        </w:tc>
        <w:tc>
          <w:tcPr>
            <w:tcW w:type="dxa" w:w="289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令和9年3月31日</w:t>
            </w:r>
          </w:p>
        </w:tc>
        <w:tc>
          <w:tcPr>
            <w:tcW w:type="dxa" w:w="5046"/>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受給者に現行制度の案内を継続。</w:t>
            </w:r>
          </w:p>
        </w:tc>
      </w:tr>
      <w:tr>
        <w:trPr>
          <w:cantSplit/>
        </w:trPr>
        <w:tc>
          <w:tcPr>
            <w:tcW w:type="dxa" w:w="1757"/>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国の対応案</w:t>
            </w:r>
          </w:p>
        </w:tc>
        <w:tc>
          <w:tcPr>
            <w:tcW w:type="dxa" w:w="2891"/>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令和12年3月末まで延長案（未確定）</w:t>
            </w:r>
          </w:p>
        </w:tc>
        <w:tc>
          <w:tcPr>
            <w:tcW w:type="dxa" w:w="5046"/>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正式決定後の対象者周知・相談体制と業務の更新。</w:t>
            </w:r>
          </w:p>
        </w:tc>
      </w:tr>
      <w:tr>
        <w:trPr>
          <w:cantSplit/>
        </w:trPr>
        <w:tc>
          <w:tcPr>
            <w:tcW w:type="dxa" w:w="1757"/>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障害福祉計画との関係</w:t>
            </w:r>
          </w:p>
        </w:tc>
        <w:tc>
          <w:tcPr>
            <w:tcW w:type="dxa" w:w="289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自立支援医療は障害福祉サービス等の成果目標・見込量と制度体系が異なる</w:t>
            </w:r>
          </w:p>
        </w:tc>
        <w:tc>
          <w:tcPr>
            <w:tcW w:type="dxa" w:w="5046"/>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保健医療・精神障害者地域生活支援・18歳移行との連携事項として整理。</w:t>
            </w:r>
          </w:p>
        </w:tc>
      </w:tr>
    </w:tbl>
    <w:p>
      <w:pPr>
        <w:spacing w:after="0"/>
      </w:pPr>
    </w:p>
    <w:p>
      <w:r>
        <w:br w:type="page"/>
      </w:r>
    </w:p>
    <w:p>
      <w:pPr>
        <w:pStyle w:val="Heading1"/>
        <w:keepNext/>
      </w:pPr>
      <w:r>
        <w:t>Ⅲ　横断整理：自治体の計画策定作業に落とす</w:t>
      </w:r>
    </w:p>
    <w:p>
      <w:pPr>
        <w:pStyle w:val="Heading2"/>
        <w:keepNext/>
      </w:pPr>
      <w:r>
        <w:t>1. 対応マトリクス（打合せ用）</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304"/>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対象</w:t>
            </w:r>
          </w:p>
        </w:tc>
        <w:tc>
          <w:tcPr>
            <w:tcW w:type="dxa" w:w="317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共通・相互関連の論点</w:t>
            </w:r>
          </w:p>
        </w:tc>
        <w:tc>
          <w:tcPr>
            <w:tcW w:type="dxa" w:w="283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確認する自治体資料</w:t>
            </w:r>
          </w:p>
        </w:tc>
        <w:tc>
          <w:tcPr>
            <w:tcW w:type="dxa" w:w="2381"/>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計画上の反映先</w:t>
            </w:r>
          </w:p>
        </w:tc>
      </w:tr>
      <w:tr>
        <w:trPr>
          <w:cantSplit/>
        </w:trPr>
        <w:tc>
          <w:tcPr>
            <w:tcW w:type="dxa" w:w="1304"/>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介護・障がい共通</w:t>
            </w:r>
          </w:p>
        </w:tc>
        <w:tc>
          <w:tcPr>
            <w:tcW w:type="dxa" w:w="317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人口減少地域のサービス供給、人員・移動制約、広域連携</w:t>
            </w:r>
          </w:p>
        </w:tc>
        <w:tc>
          <w:tcPr>
            <w:tcW w:type="dxa" w:w="283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サービス別実績、従業者、受入停止、地理的距離</w:t>
            </w:r>
          </w:p>
        </w:tc>
        <w:tc>
          <w:tcPr>
            <w:tcW w:type="dxa" w:w="238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提供体制確保・中長期推計</w:t>
            </w:r>
          </w:p>
        </w:tc>
      </w:tr>
      <w:tr>
        <w:trPr>
          <w:cantSplit/>
        </w:trPr>
        <w:tc>
          <w:tcPr>
            <w:tcW w:type="dxa" w:w="1304"/>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介護</w:t>
            </w:r>
          </w:p>
        </w:tc>
        <w:tc>
          <w:tcPr>
            <w:tcW w:type="dxa" w:w="3175"/>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訪問介護、ケアマネ、医療介護連携、看取り</w:t>
            </w:r>
          </w:p>
        </w:tc>
        <w:tc>
          <w:tcPr>
            <w:tcW w:type="dxa" w:w="2835"/>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給付費・介護度別利用、医療／介護保険別訪問看護</w:t>
            </w:r>
          </w:p>
        </w:tc>
        <w:tc>
          <w:tcPr>
            <w:tcW w:type="dxa" w:w="2381"/>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給付費・保険料、地域包括ケア</w:t>
            </w:r>
          </w:p>
        </w:tc>
      </w:tr>
      <w:tr>
        <w:trPr>
          <w:cantSplit/>
        </w:trPr>
        <w:tc>
          <w:tcPr>
            <w:tcW w:type="dxa" w:w="1304"/>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障がい</w:t>
            </w:r>
          </w:p>
        </w:tc>
        <w:tc>
          <w:tcPr>
            <w:tcW w:type="dxa" w:w="317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就労選択・A/B型・在宅就労・移動支援</w:t>
            </w:r>
          </w:p>
        </w:tc>
        <w:tc>
          <w:tcPr>
            <w:tcW w:type="dxa" w:w="283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支給決定、サービス等利用計画、事業所別定員・工賃</w:t>
            </w:r>
          </w:p>
        </w:tc>
        <w:tc>
          <w:tcPr>
            <w:tcW w:type="dxa" w:w="238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6"/>
              </w:rPr>
              <w:t>サービス見込量、就労・地域生活支援</w:t>
            </w:r>
          </w:p>
        </w:tc>
      </w:tr>
      <w:tr>
        <w:trPr>
          <w:cantSplit/>
        </w:trPr>
        <w:tc>
          <w:tcPr>
            <w:tcW w:type="dxa" w:w="1304"/>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両制度の境界</w:t>
            </w:r>
          </w:p>
        </w:tc>
        <w:tc>
          <w:tcPr>
            <w:tcW w:type="dxa" w:w="3175"/>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障害のある高齢者の65歳移行、住まい、成年後見・権利擁護</w:t>
            </w:r>
          </w:p>
        </w:tc>
        <w:tc>
          <w:tcPr>
            <w:tcW w:type="dxa" w:w="2835"/>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双方の担当課の相談・移行事例、制度併用件数</w:t>
            </w:r>
          </w:p>
        </w:tc>
        <w:tc>
          <w:tcPr>
            <w:tcW w:type="dxa" w:w="2381"/>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6"/>
              </w:rPr>
              <w:t>共通施策・地域福祉との連携</w:t>
            </w:r>
          </w:p>
        </w:tc>
      </w:tr>
    </w:tbl>
    <w:p>
      <w:pPr>
        <w:spacing w:after="0"/>
      </w:pPr>
    </w:p>
    <w:p>
      <w:pPr>
        <w:pStyle w:val="Heading2"/>
        <w:keepNext/>
      </w:pPr>
      <w:r>
        <w:t>2. 会議で確認するチェックリスト</w:t>
      </w:r>
    </w:p>
    <w:p>
      <w:r>
        <w:t>□ 訪問介護・居宅介護の「利用実績の減少」が需要減か、供給不足かを区別しているか。</w:t>
      </w:r>
    </w:p>
    <w:p>
      <w:r>
        <w:t>□ サービスごとの定員・人員・新規受入余力・圏域外利用を確認したか。</w:t>
      </w:r>
    </w:p>
    <w:p>
      <w:r>
        <w:t>□ ケアマネ／相談支援専門員の不足と業務負担を、計画の確保方策に反映したか。</w:t>
      </w:r>
    </w:p>
    <w:p>
      <w:r>
        <w:t>□ 高齢者の医療・介護連携は医療保険側の利用も確認しているか。</w:t>
      </w:r>
    </w:p>
    <w:p>
      <w:r>
        <w:t>□ 障がい分野は就労選択支援の提供体制と令和9年4月予定の運用を確認したか。</w:t>
      </w:r>
    </w:p>
    <w:p>
      <w:r>
        <w:t>□ 就労A型・B型の工賃・定員だけでなく利用者の状態像・支援の質を把握したか。</w:t>
      </w:r>
    </w:p>
    <w:p>
      <w:r>
        <w:t>□ 障がいの特定地域について、介護の指定要件を流用せず原文を確認したか。</w:t>
      </w:r>
    </w:p>
    <w:p>
      <w:r>
        <w:t>□ 自立支援医療の経過的特例の正式決定を確認する担当と期限を決めたか。</w:t>
      </w:r>
    </w:p>
    <w:p>
      <w:r>
        <w:t>□ 成年後見・権利擁護、65歳移行は地域福祉計画との役割分担が明確か。</w:t>
      </w:r>
    </w:p>
    <w:p>
      <w:r>
        <w:t>□ 報酬改定案を確定事項として給付費・見込量に先取りしていないか。</w:t>
      </w:r>
    </w:p>
    <w:p>
      <w:pPr>
        <w:pStyle w:val="Heading2"/>
        <w:keepNext/>
      </w:pPr>
      <w:r>
        <w:t>3. 時点管理とRed Teamチェック</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531"/>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区分</w:t>
            </w:r>
          </w:p>
        </w:tc>
        <w:tc>
          <w:tcPr>
            <w:tcW w:type="dxa" w:w="3798"/>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対象</w:t>
            </w:r>
          </w:p>
        </w:tc>
        <w:tc>
          <w:tcPr>
            <w:tcW w:type="dxa" w:w="4365"/>
            <w:vAlign w:val="center"/>
            <w:shd w:fill="1C3F62"/>
            <w:tcBorders>
              <w:top w:val="single" w:sz="5" w:color="1C3F62"/>
              <w:left w:val="single" w:sz="5" w:color="1C3F62"/>
              <w:bottom w:val="single" w:sz="5" w:color="1C3F62"/>
              <w:right w:val="single" w:sz="5" w:color="1C3F62"/>
            </w:tcBorders>
          </w:tcPr>
          <w:p>
            <w:pPr>
              <w:spacing w:after="20" w:before="20" w:line="278" w:lineRule="auto"/>
            </w:pPr>
            <w:r/>
            <w:r>
              <w:rPr>
                <w:rFonts w:ascii="Noto Sans CJK JP" w:hAnsi="Noto Sans CJK JP"/>
                <w:b/>
                <w:color w:val="FFFFFF"/>
                <w:sz w:val="16"/>
              </w:rPr>
              <w:t>対応・留意</w:t>
            </w:r>
          </w:p>
        </w:tc>
      </w:tr>
      <w:tr>
        <w:trPr>
          <w:cantSplit/>
        </w:trPr>
        <w:tc>
          <w:tcPr>
            <w:tcW w:type="dxa" w:w="153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確認済み</w:t>
            </w:r>
          </w:p>
        </w:tc>
        <w:tc>
          <w:tcPr>
            <w:tcW w:type="dxa" w:w="3798"/>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両会議の開催日・資料構成。第271回資料1～6、障害者部会資料1・3の本文。</w:t>
            </w:r>
          </w:p>
        </w:tc>
        <w:tc>
          <w:tcPr>
            <w:tcW w:type="dxa" w:w="436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各表に資料番号とPDF頁を記載。</w:t>
            </w:r>
          </w:p>
        </w:tc>
      </w:tr>
      <w:tr>
        <w:trPr>
          <w:cantSplit/>
        </w:trPr>
        <w:tc>
          <w:tcPr>
            <w:tcW w:type="dxa" w:w="1531"/>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5"/>
              </w:rPr>
              <w:t>審議中</w:t>
            </w:r>
          </w:p>
        </w:tc>
        <w:tc>
          <w:tcPr>
            <w:tcW w:type="dxa" w:w="3798"/>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5"/>
              </w:rPr>
              <w:t>令和9年度の介護・障害福祉報酬の具体的な対応案。</w:t>
            </w:r>
          </w:p>
        </w:tc>
        <w:tc>
          <w:tcPr>
            <w:tcW w:type="dxa" w:w="4365"/>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5"/>
              </w:rPr>
              <w:t>省令・告示等が出た後に、支給決定・見込量・給付費を更新。</w:t>
            </w:r>
          </w:p>
        </w:tc>
      </w:tr>
      <w:tr>
        <w:trPr>
          <w:cantSplit/>
        </w:trPr>
        <w:tc>
          <w:tcPr>
            <w:tcW w:type="dxa" w:w="1531"/>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要原本照合</w:t>
            </w:r>
          </w:p>
        </w:tc>
        <w:tc>
          <w:tcPr>
            <w:tcW w:type="dxa" w:w="3798"/>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第160回資料2の特定地域の指定条件・対象・経過措置。</w:t>
            </w:r>
          </w:p>
        </w:tc>
        <w:tc>
          <w:tcPr>
            <w:tcW w:type="dxa" w:w="4365"/>
            <w:vAlign w:val="center"/>
            <w:tcBorders>
              <w:top w:val="single" w:sz="5" w:color="D5E0EA"/>
              <w:left w:val="single" w:sz="5" w:color="D5E0EA"/>
              <w:bottom w:val="single" w:sz="5" w:color="D5E0EA"/>
              <w:right w:val="single" w:sz="5" w:color="D5E0EA"/>
            </w:tcBorders>
            <w:shd w:fill="F3F7FA"/>
          </w:tcPr>
          <w:p>
            <w:pPr>
              <w:spacing w:after="20" w:before="20" w:line="278" w:lineRule="auto"/>
            </w:pPr>
            <w:r/>
            <w:r>
              <w:rPr>
                <w:rFonts w:ascii="Noto Sans CJK JP" w:hAnsi="Noto Sans CJK JP"/>
                <w:b w:val="0"/>
                <w:color w:val="293541"/>
                <w:sz w:val="15"/>
              </w:rPr>
              <w:t>11.4MBの本文を完全に取得できず。国資料・県通知で確認後に結論。</w:t>
            </w:r>
          </w:p>
        </w:tc>
      </w:tr>
      <w:tr>
        <w:trPr>
          <w:cantSplit/>
        </w:trPr>
        <w:tc>
          <w:tcPr>
            <w:tcW w:type="dxa" w:w="1531"/>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5"/>
              </w:rPr>
              <w:t>計画上の区分</w:t>
            </w:r>
          </w:p>
        </w:tc>
        <w:tc>
          <w:tcPr>
            <w:tcW w:type="dxa" w:w="3798"/>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5"/>
              </w:rPr>
              <w:t>法令上の必須記載と、審議中の報酬制度、自治体提案事項。</w:t>
            </w:r>
          </w:p>
        </w:tc>
        <w:tc>
          <w:tcPr>
            <w:tcW w:type="dxa" w:w="4365"/>
            <w:vAlign w:val="center"/>
            <w:tcBorders>
              <w:top w:val="single" w:sz="5" w:color="D5E0EA"/>
              <w:left w:val="single" w:sz="5" w:color="D5E0EA"/>
              <w:bottom w:val="single" w:sz="5" w:color="D5E0EA"/>
              <w:right w:val="single" w:sz="5" w:color="D5E0EA"/>
            </w:tcBorders>
            <w:shd w:fill="FFFFFF"/>
          </w:tcPr>
          <w:p>
            <w:pPr>
              <w:spacing w:after="20" w:before="20" w:line="278" w:lineRule="auto"/>
            </w:pPr>
            <w:r/>
            <w:r>
              <w:rPr>
                <w:rFonts w:ascii="Noto Sans CJK JP" w:hAnsi="Noto Sans CJK JP"/>
                <w:b w:val="0"/>
                <w:color w:val="293541"/>
                <w:sz w:val="15"/>
              </w:rPr>
              <w:t>制度上の義務と計画実務上の推奨を混同しない。</w:t>
            </w:r>
          </w:p>
        </w:tc>
      </w:tr>
    </w:tbl>
    <w:p>
      <w:pPr>
        <w:spacing w:after="0"/>
      </w:pPr>
    </w:p>
    <w:p>
      <w:pPr>
        <w:pStyle w:val="Heading2"/>
        <w:keepNext/>
      </w:pPr>
      <w:r>
        <w:t>4. 一次資料一覧（クリックすると公式資料へ移動）</w:t>
      </w:r>
    </w:p>
    <w:p>
      <w:pPr>
        <w:spacing w:after="60"/>
      </w:pPr>
      <w:r>
        <w:rPr>
          <w:b/>
          <w:sz w:val="16"/>
        </w:rPr>
        <w:t xml:space="preserve">[C271] </w:t>
      </w:r>
      <w:hyperlink r:id="rId11">
        <w:r>
          <w:rPr>
            <w:color w:val="236FA1"/>
            <w:u w:val="single"/>
          </w:rPr>
          <w:t>第271回介護給付費分科会 配付資料一覧</w:t>
        </w:r>
      </w:hyperlink>
    </w:p>
    <w:p>
      <w:pPr>
        <w:spacing w:after="60"/>
      </w:pPr>
      <w:r>
        <w:rPr>
          <w:b/>
          <w:sz w:val="16"/>
        </w:rPr>
        <w:t xml:space="preserve">[C1] </w:t>
      </w:r>
      <w:hyperlink r:id="rId12">
        <w:r>
          <w:rPr>
            <w:color w:val="236FA1"/>
            <w:u w:val="single"/>
          </w:rPr>
          <w:t>資料1 訪問介護</w:t>
        </w:r>
      </w:hyperlink>
    </w:p>
    <w:p>
      <w:pPr>
        <w:spacing w:after="60"/>
      </w:pPr>
      <w:r>
        <w:rPr>
          <w:b/>
          <w:sz w:val="16"/>
        </w:rPr>
        <w:t xml:space="preserve">[C2] </w:t>
      </w:r>
      <w:hyperlink r:id="rId13">
        <w:r>
          <w:rPr>
            <w:color w:val="236FA1"/>
            <w:u w:val="single"/>
          </w:rPr>
          <w:t>資料2 訪問入浴介護</w:t>
        </w:r>
      </w:hyperlink>
    </w:p>
    <w:p>
      <w:pPr>
        <w:spacing w:after="60"/>
      </w:pPr>
      <w:r>
        <w:rPr>
          <w:b/>
          <w:sz w:val="16"/>
        </w:rPr>
        <w:t xml:space="preserve">[C3] </w:t>
      </w:r>
      <w:hyperlink r:id="rId14">
        <w:r>
          <w:rPr>
            <w:color w:val="236FA1"/>
            <w:u w:val="single"/>
          </w:rPr>
          <w:t>資料3 訪問看護</w:t>
        </w:r>
      </w:hyperlink>
    </w:p>
    <w:p>
      <w:pPr>
        <w:spacing w:after="60"/>
      </w:pPr>
      <w:r>
        <w:rPr>
          <w:b/>
          <w:sz w:val="16"/>
        </w:rPr>
        <w:t xml:space="preserve">[C4] </w:t>
      </w:r>
      <w:hyperlink r:id="rId15">
        <w:r>
          <w:rPr>
            <w:color w:val="236FA1"/>
            <w:u w:val="single"/>
          </w:rPr>
          <w:t>資料4 訪問リハビリテーション</w:t>
        </w:r>
      </w:hyperlink>
    </w:p>
    <w:p>
      <w:pPr>
        <w:spacing w:after="60"/>
      </w:pPr>
      <w:r>
        <w:rPr>
          <w:b/>
          <w:sz w:val="16"/>
        </w:rPr>
        <w:t xml:space="preserve">[C5] </w:t>
      </w:r>
      <w:hyperlink r:id="rId16">
        <w:r>
          <w:rPr>
            <w:color w:val="236FA1"/>
            <w:u w:val="single"/>
          </w:rPr>
          <w:t>資料5 居宅療養管理指導</w:t>
        </w:r>
      </w:hyperlink>
    </w:p>
    <w:p>
      <w:pPr>
        <w:spacing w:after="60"/>
      </w:pPr>
      <w:r>
        <w:rPr>
          <w:b/>
          <w:sz w:val="16"/>
        </w:rPr>
        <w:t xml:space="preserve">[C6] </w:t>
      </w:r>
      <w:hyperlink r:id="rId17">
        <w:r>
          <w:rPr>
            <w:color w:val="236FA1"/>
            <w:u w:val="single"/>
          </w:rPr>
          <w:t>資料6 居宅介護支援・介護予防支援</w:t>
        </w:r>
      </w:hyperlink>
    </w:p>
    <w:p>
      <w:pPr>
        <w:spacing w:after="60"/>
      </w:pPr>
      <w:r>
        <w:rPr>
          <w:b/>
          <w:sz w:val="16"/>
        </w:rPr>
        <w:t xml:space="preserve">[D160] </w:t>
      </w:r>
      <w:hyperlink r:id="rId18">
        <w:r>
          <w:rPr>
            <w:color w:val="236FA1"/>
            <w:u w:val="single"/>
          </w:rPr>
          <w:t>第160回障害者部会 配付資料一覧</w:t>
        </w:r>
      </w:hyperlink>
    </w:p>
    <w:p>
      <w:pPr>
        <w:spacing w:after="60"/>
      </w:pPr>
      <w:r>
        <w:rPr>
          <w:b/>
          <w:sz w:val="16"/>
        </w:rPr>
        <w:t xml:space="preserve">[D1] </w:t>
      </w:r>
      <w:hyperlink r:id="rId19">
        <w:r>
          <w:rPr>
            <w:color w:val="236FA1"/>
            <w:u w:val="single"/>
          </w:rPr>
          <w:t>資料1 報酬改定検討チームの議論状況</w:t>
        </w:r>
      </w:hyperlink>
    </w:p>
    <w:p>
      <w:pPr>
        <w:spacing w:after="60"/>
      </w:pPr>
      <w:r>
        <w:rPr>
          <w:b/>
          <w:sz w:val="16"/>
        </w:rPr>
        <w:t xml:space="preserve">[D2] </w:t>
      </w:r>
      <w:hyperlink r:id="rId20">
        <w:r>
          <w:rPr>
            <w:color w:val="236FA1"/>
            <w:u w:val="single"/>
          </w:rPr>
          <w:t>資料2 障害福祉分野の特定地域（全文要再確認）</w:t>
        </w:r>
      </w:hyperlink>
    </w:p>
    <w:p>
      <w:pPr>
        <w:spacing w:after="60"/>
      </w:pPr>
      <w:r>
        <w:rPr>
          <w:b/>
          <w:sz w:val="16"/>
        </w:rPr>
        <w:t xml:space="preserve">[D3] </w:t>
      </w:r>
      <w:hyperlink r:id="rId21">
        <w:r>
          <w:rPr>
            <w:color w:val="236FA1"/>
            <w:u w:val="single"/>
          </w:rPr>
          <w:t>資料3 自立支援医療の経過的特例</w:t>
        </w:r>
      </w:hyperlink>
    </w:p>
    <w:p>
      <w:pPr>
        <w:spacing w:after="60"/>
      </w:pPr>
      <w:r>
        <w:rPr>
          <w:b/>
          <w:sz w:val="16"/>
        </w:rPr>
        <w:t xml:space="preserve">[D_old] </w:t>
      </w:r>
      <w:hyperlink r:id="rId22">
        <w:r>
          <w:rPr>
            <w:color w:val="236FA1"/>
            <w:u w:val="single"/>
          </w:rPr>
          <w:t>第154回関連資料：中山間・人口減少地域の提供体制</w:t>
        </w:r>
      </w:hyperlink>
    </w:p>
    <w:p>
      <w:pPr>
        <w:spacing w:after="60"/>
      </w:pPr>
      <w:r>
        <w:rPr>
          <w:b/>
          <w:sz w:val="16"/>
        </w:rPr>
        <w:t xml:space="preserve">[D_examples] </w:t>
      </w:r>
      <w:hyperlink r:id="rId23">
        <w:r>
          <w:rPr>
            <w:color w:val="236FA1"/>
            <w:u w:val="single"/>
          </w:rPr>
          <w:t>人口減少地域の事例集・調査研究</w:t>
        </w:r>
      </w:hyperlink>
    </w:p>
    <w:p>
      <w:r>
        <w:rPr>
          <w:color w:val="606E7C"/>
          <w:sz w:val="14"/>
        </w:rPr>
        <w:t>注：PDFの「頁」は原則としてPDFビューアの1頁目を1とした参照位置。資料中に印字されたページ番号とは1頁前後ずれる場合があります。</w:t>
      </w:r>
    </w:p>
    <w:sectPr w:rsidR="00FC693F" w:rsidRPr="0006063C" w:rsidSect="00034616">
      <w:headerReference w:type="default" r:id="rId9"/>
      <w:footerReference w:type="default" r:id="rId10"/>
      <w:pgSz w:w="11906" w:h="16838"/>
      <w:pgMar w:top="964" w:right="992" w:bottom="907"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E7C"/>
        <w:sz w:val="14"/>
      </w:rPr>
      <w:t xml:space="preserve">自治体計画策定用／厚生労働省配付資料に基づく整理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E7C"/>
        <w:sz w:val="14"/>
      </w:rPr>
      <w:t>制度改正・審議会資料の計画策定論点整理　｜　令和8年10月20日現在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Noto Sans CJK JP" w:hAnsi="Noto Sans CJK JP" w:eastAsia="Noto Sans CJK JP"/>
      <w:color w:val="2935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Noto Sans CJK JP" w:hAnsi="Noto Sans CJK JP" w:eastAsia="Noto Sans CJK JP"/>
      <w:b/>
      <w:bCs/>
      <w:color w:val="1C3F62"/>
      <w:sz w:val="27"/>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Noto Sans CJK JP" w:hAnsi="Noto Sans CJK JP" w:eastAsia="Noto Sans CJK JP"/>
      <w:b/>
      <w:bCs/>
      <w:color w:val="1C3F62"/>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JP" w:hAnsi="Noto Sans CJK JP" w:eastAsia="Noto Sans CJK JP"/>
      <w:b/>
      <w:bCs/>
      <w:color w:val="1C3F62"/>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CJK JP" w:hAnsi="Noto Sans CJK JP" w:eastAsia="Noto Sans CJK JP"/>
      <w:b/>
      <w:color w:val="1C3F6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2"/>
      <w:contextualSpacing/>
    </w:pPr>
    <w:rPr>
      <w:rFonts w:ascii="Noto Sans CJK JP" w:hAnsi="Noto Sans CJK JP" w:eastAsia="Noto Sans CJK JP"/>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hlw.go.jp/stf/newpage_76626.html" TargetMode="External"/><Relationship Id="rId12" Type="http://schemas.openxmlformats.org/officeDocument/2006/relationships/hyperlink" Target="https://www.mhlw.go.jp/content/12300000/001760459.pdf" TargetMode="External"/><Relationship Id="rId13" Type="http://schemas.openxmlformats.org/officeDocument/2006/relationships/hyperlink" Target="https://www.mhlw.go.jp/content/12300000/001760888.pdf" TargetMode="External"/><Relationship Id="rId14" Type="http://schemas.openxmlformats.org/officeDocument/2006/relationships/hyperlink" Target="https://www.mhlw.go.jp/content/12300000/001760335.pdf" TargetMode="External"/><Relationship Id="rId15" Type="http://schemas.openxmlformats.org/officeDocument/2006/relationships/hyperlink" Target="https://www.mhlw.go.jp/content/12300000/001760334.pdf" TargetMode="External"/><Relationship Id="rId16" Type="http://schemas.openxmlformats.org/officeDocument/2006/relationships/hyperlink" Target="https://www.mhlw.go.jp/content/12300000/001760336.pdf" TargetMode="External"/><Relationship Id="rId17" Type="http://schemas.openxmlformats.org/officeDocument/2006/relationships/hyperlink" Target="https://www.mhlw.go.jp/content/12300000/001760887.pdf" TargetMode="External"/><Relationship Id="rId18" Type="http://schemas.openxmlformats.org/officeDocument/2006/relationships/hyperlink" Target="https://www.mhlw.go.jp/stf/newpage_76820.html" TargetMode="External"/><Relationship Id="rId19" Type="http://schemas.openxmlformats.org/officeDocument/2006/relationships/hyperlink" Target="https://www.mhlw.go.jp/content/12201000/001760766.pdf" TargetMode="External"/><Relationship Id="rId20" Type="http://schemas.openxmlformats.org/officeDocument/2006/relationships/hyperlink" Target="https://www.mhlw.go.jp/content/12201000/001760767.pdf" TargetMode="External"/><Relationship Id="rId21" Type="http://schemas.openxmlformats.org/officeDocument/2006/relationships/hyperlink" Target="https://www.mhlw.go.jp/content/12201000/001760768.pdf" TargetMode="External"/><Relationship Id="rId22" Type="http://schemas.openxmlformats.org/officeDocument/2006/relationships/hyperlink" Target="https://www.mhlw.go.jp/content/001684690.pdf" TargetMode="External"/><Relationship Id="rId23" Type="http://schemas.openxmlformats.org/officeDocument/2006/relationships/hyperlink" Target="https://www.mhlw.go.jp/stf/newpage_7405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第271回介護給付費分科会・第160回障害者部会　計画策定論点整理</dc:title>
  <dc:subject>第10期介護保険事業計画・第8期障害福祉計画</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