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67件になりました。一度にお送りするとご負担が大きく、お急ぎでないものに引きずられて急ぐものの回答が遅れます。このため、回答がいつ必要かによって５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５通の構成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9件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9件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20件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19件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5件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委員会に出す資料に直に要るもの（9件）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サービスの見込量を確定するために要るもの（9件）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２項第２号にもございますが、本計画が見込むのは障害者総合支援法による事業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高齢者福祉の施策との接続（20件）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第5章7（4）の村単独事業の記述を数値で裏づける。通院の負担は移動支援の論点（M-45・M-46）にもつながる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対象に含まれることが分かったため、次は実績である。M-55と同じ便で尋ねる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既にある施策の実績（19件）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32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82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会津北部４町村及び県との広域整合（5件）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