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編集注記：策定委員会の開催実績・委員名簿・パブリックコメントの実施結果は、計画確定時に資料編に掲載します。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本村の高齢者人口は、令和2年（2020年）の948人をピークとしてすでに減少局面に入っています。令和22年（2040年）には765人となり、ピーク時から19.3%減少する見込みです。</w:t>
      </w:r>
    </w:p>
    <w:p>
      <w:pPr>
        <w:spacing w:after="120" w:line="300"/>
      </w:pPr>
      <w:r>
        <w:rPr>
          <w:rFonts w:ascii="游明朝" w:cs="游明朝" w:eastAsia="游明朝" w:hAnsi="游明朝"/>
          <w:sz w:val="21"/>
          <w:szCs w:val="21"/>
        </w:rPr>
        <w:t xml:space="preserve">一方で、75歳以上の後期高齢者は令和12年（2030年）の551人までは増加します。令和7年の480人から5年間で71人（14.8%）の増加です。反対に65歳から74歳までの前期高齢者は、同期間に457人から360人へと97人（21.2%）減少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778"/>
        <w:gridCol w:w="1498"/>
        <w:gridCol w:w="1498"/>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高齢者計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出典：国立社会保障・人口問題研究所「日本の地域別将来推計人口」　単位：人</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介護保険の第1号被保険者数は住民基本台帳を基礎とするため、国勢調査を基礎とする将来推計人口とは差が生じます。本村では、住民基本台帳ベースの実績が国勢調査ベースの推計を6〜8%上回る状態が続いています。</w:t>
      </w:r>
    </w:p>
    <w:p>
      <w:pPr>
        <w:spacing w:after="120" w:line="300"/>
      </w:pPr>
      <w:r>
        <w:rPr>
          <w:rFonts w:ascii="游明朝" w:cs="游明朝" w:eastAsia="游明朝" w:hAnsi="游明朝"/>
          <w:sz w:val="21"/>
          <w:szCs w:val="21"/>
        </w:rPr>
        <w:t xml:space="preserve">第9期計画では将来推計人口をそのまま用いたため、第1号被保険者数を実績より63人（6.6%）少なく見込む結果となりました。本計画では、この乖離を補正したうえで推計します。補正の方法は第5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872"/>
        <w:gridCol w:w="149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第1号被保険者数はほぼ横ばいで推移しますが、後期高齢者の割合は51.4%から58.9%へと7.5ポイント上昇します。10人に6人が75歳以上となる見通しです。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貯筋教室、シニア元気アップ教室、住民主体の通いの場であるいきいき百歳体操などを実施しています。第9期のアンケート調査では、介護予防のための通いの場に参加している方は11.2%（509人中57人）であり、地区による差が大きいことが確認されています。とりわけ大塩地区は参加率・参加意向がいずれも最も低い状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通いの場の箇所数・参加者数・参加率は、地域包括ケア「見える化」システムのデータが令和2年度で更新を終えており、村の実数の提供を受けたうえで記載します。上記の11.2%は第9期アンケート調査による数値で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保険者機能強化推進交付金等 指標群別得点（令和5年度）</w:t>
      </w:r>
    </w:p>
    <w:p>
      <w:pPr>
        <w:spacing w:after="200"/>
        <w:jc w:val="center"/>
      </w:pPr>
      <w:r>
        <w:rPr>
          <w:rFonts w:ascii="游ゴシック" w:cs="游ゴシック" w:eastAsia="游ゴシック" w:hAnsi="游ゴシック"/>
          <w:color w:val="595959"/>
          <w:sz w:val="15"/>
          <w:szCs w:val="15"/>
        </w:rPr>
        <w:t xml:space="preserve">出典：厚生労働省「保険者機能強化推進交付金・介護保険保険者努力支援交付金に係る評価指標」</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国は、保険者機能強化推進交付金および介護保険保険者努力支援交付金の評価指標により、市町村の取組を毎年度評価しています。本村の令和5年度の評価結果は次のとおりです。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体制の整備を評価する「取組・体制指標群」と、要介護度の変化を評価する「成果指標群」では一定の得点を得ている一方、実際の活動量を評価する「活動指標群」の得点が低くなっています。体制は整っているものの、そこから生まれる活動が十分でないことを示しています。</w:t>
      </w:r>
    </w:p>
    <w:p>
      <w:pPr>
        <w:spacing w:after="120" w:line="300"/>
      </w:pPr>
      <w:r>
        <w:rPr>
          <w:rFonts w:ascii="游明朝" w:cs="游明朝" w:eastAsia="游明朝" w:hAnsi="游明朝"/>
          <w:sz w:val="21"/>
          <w:szCs w:val="21"/>
        </w:rPr>
        <w:t xml:space="preserve">個別の評価項目では、令和3年度・令和4年度を通じて0点であった項目が21件あり、そのうち8件が「介護予防／日常生活支援」に集中しています。</w:t>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編集注記：評価指標の福島県平均・全国平均は、村から提供を受けたうえで比較を記載します。なお令和4年度と令和5年度では評価指標の体系が異なるため、両年度の得点は単純に比較できません。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住民主体の通いの場であるいきいき百歳体操などを実施しています。第9期の調査では参加率は11.2%で、地区による差が大きく、大塩地区が最も低い状況です。また通いの場の箇所数・参加者数は、国の調査における報告が令和2年度で途絶えており、現在の実態が把握できていません。まず実数を把握し、そのうえで参加率の目標を設定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通いの場の実施状況を悉皆で調査し、基準値を確定します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3項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会津11自治体が連携する中核機関「会津権利擁護・成年後見センター」が令和4年度に設置されています。第9期の調査では、成年後見制度について「わからない」と回答した方が30.3%あり、判断能力が低下した場合に備えて家族と話し合ったことがある方は27.7%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権利擁護支援のネットワークづくりを進めます</w:t>
      </w:r>
    </w:p>
    <w:p>
      <w:pPr>
        <w:pStyle w:val="ListParagraph"/>
        <w:numPr>
          <w:ilvl w:val="0"/>
          <w:numId w:val="2"/>
        </w:numPr>
        <w:spacing w:after="60" w:line="300"/>
      </w:pPr>
      <w:r>
        <w:rPr>
          <w:rFonts w:ascii="游明朝" w:cs="游明朝" w:eastAsia="游明朝" w:hAnsi="游明朝"/>
          <w:sz w:val="21"/>
          <w:szCs w:val="21"/>
        </w:rPr>
        <w:t xml:space="preserve">制度の広報・周知と相談対応を行います</w:t>
      </w:r>
    </w:p>
    <w:p>
      <w:pPr>
        <w:pStyle w:val="ListParagraph"/>
        <w:numPr>
          <w:ilvl w:val="0"/>
          <w:numId w:val="2"/>
        </w:numPr>
        <w:spacing w:after="60" w:line="300"/>
      </w:pPr>
      <w:r>
        <w:rPr>
          <w:rFonts w:ascii="游明朝" w:cs="游明朝" w:eastAsia="游明朝" w:hAnsi="游明朝"/>
          <w:sz w:val="21"/>
          <w:szCs w:val="21"/>
        </w:rPr>
        <w:t xml:space="preserve">市民後見人の養成について検討します</w:t>
      </w:r>
    </w:p>
    <w:p>
      <w:pPr>
        <w:pStyle w:val="ListParagraph"/>
        <w:numPr>
          <w:ilvl w:val="0"/>
          <w:numId w:val="2"/>
        </w:numPr>
        <w:spacing w:after="60" w:line="300"/>
      </w:pPr>
      <w:r>
        <w:rPr>
          <w:rFonts w:ascii="游明朝" w:cs="游明朝" w:eastAsia="游明朝" w:hAnsi="游明朝"/>
          <w:sz w:val="21"/>
          <w:szCs w:val="21"/>
        </w:rPr>
        <w:t xml:space="preserve">利用支援事業を実施します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介護保険事業の見込みと保険料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本村の第1号被保険者が令和7年度に利用しているサービスは18種類です。残る9種類は利用実績がないか、過去のみの利用となっています。見込量の算定は、全27種類について行い、実績のないサービスは「―」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訪問介護／訪問入浴介護／訪問看護／訪問リハビリテーション／居宅療養管理指導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あり（5種類）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地域密着型サービス（介護給付）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施設サービス（介護給付）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(4) 介護予防サービス（予防給付）</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予防サービスについても(1)〜(3)と同様の様式により、要支援1・2を対象として算定します。本村は要支援1の認定者が6年間で3倍に増えているため、予防給付の見込量の設定がとくに重要になります。</w:t>
      </w:r>
    </w:p>
    <w:p>
      <w:pPr>
        <w:spacing w:after="100" w:line="300"/>
      </w:pPr>
      <w:r>
        <w:rPr>
          <w:rFonts w:ascii="游ゴシック" w:cs="游ゴシック" w:eastAsia="游ゴシック" w:hAnsi="游ゴシック"/>
          <w:b/>
          <w:bCs/>
          <w:color w:val="2E75B6"/>
          <w:sz w:val="21"/>
          <w:szCs w:val="21"/>
        </w:rPr>
        <w:t xml:space="preserve">(5)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受給者数の実績はサービス種類ごとに把握できていないため、村から介護保険事業状況報告の月報・年報の提供を受けたうえで補います。見込量の数値は、国の推計ワークシートの提供後に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地域支援事業費の見込み</w:t>
      </w:r>
    </w:p>
    <w:p>
      <w:pPr>
        <w:spacing w:after="120" w:line="300"/>
      </w:pPr>
      <w:r>
        <w:rPr>
          <w:rFonts w:ascii="游明朝" w:cs="游明朝" w:eastAsia="游明朝" w:hAnsi="游明朝"/>
          <w:sz w:val="21"/>
          <w:szCs w:val="21"/>
        </w:rPr>
        <w:t xml:space="preserve">地域支援事業費を、次の区分により見込みます。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1217"/>
        <w:gridCol w:w="1310"/>
        <w:gridCol w:w="121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生活保護受給者・世帯全員が市町村民税非課税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第4〜5段階</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本人が市町村民税非課税（世帯に課税者あり）</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第6〜13段階</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本人が市町村民税課税（所得金額に応じて区分）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編集注記：各段階の保険料率・保険料月額・対象者数は、保険料基準額の算定後に記載します。第9期から標準9段階が13段階に多段階化されており、本計画でも13段階を基本とします。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ad1ce5e2009e1c21d16182b395c0c1077f365d4c.png"/><Relationship Id="rId24" Type="http://schemas.openxmlformats.org/officeDocument/2006/relationships/image" Target="media/c2ea5ed8f543721031ca0ed4f864e6cb46859e88.png"/><Relationship Id="rId25" Type="http://schemas.openxmlformats.org/officeDocument/2006/relationships/image" Target="media/8c679676851485b3ad3624d7f340f2549c062cfc.png"/><Relationship Id="rId26" Type="http://schemas.openxmlformats.org/officeDocument/2006/relationships/image" Target="media/b78d0fb9a323b2804bed42ead9ec57e80b006e69.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2026-09-02T07:11:30.350Z</dcterms:created>
  <dcterms:modified xsi:type="dcterms:W3CDTF">2026-09-02T07:11:30.371Z</dcterms:modified>
</cp:coreProperties>
</file>

<file path=docProps/custom.xml><?xml version="1.0" encoding="utf-8"?>
<Properties xmlns="http://schemas.openxmlformats.org/officeDocument/2006/custom-properties" xmlns:vt="http://schemas.openxmlformats.org/officeDocument/2006/docPropsVTypes"/>
</file>