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69件になりました。一度にお送りするとご負担が大きく、お急ぎでないものに引きずられて急ぐものの回答が遅れます。このため、回答がいつ必要かによって５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５通の構成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9件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20件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6件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委員会に出す資料に直に要るもの（9件）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サービスの見込量を確定するために要るもの（9件）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高齢者福祉の施策との接続（20件）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第5章7（4）の村単独事業の記述を数値で裏づける。通院の負担は移動支援の論点（M-45・M-46）にもつながる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対象に含まれることが分かったため、次は実績である。M-55と同じ便で尋ねる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既にある施策の実績（20件）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会津北部４町村及び県との広域整合（6件）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