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156頁あり、分量の制約を置いていない（別冊156頁）。このうち5-12「据え置いている項目の一覧」と編集注記（⚙）を除いた計画書は136頁である。公表する計画書はこれとは別に、第9期計画の目次体系を踏襲して組んでいる。指針・通達・法令による追加のみを加えた結果、分量の削減案を行わない場合は121頁で、村が許容する115頁を6頁上回る。削減案A〜Eを行うと113頁、さらにH・Jを行うと110頁、G・K・Lまで行うと107頁になる（いずれも実測）。どの案を行うかを本委員会でご判断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残りの55点はどうなるのか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2026-10-22T00:24:24.502Z</dcterms:created>
  <dcterms:modified xsi:type="dcterms:W3CDTF">2026-10-22T00:24:24.502Z</dcterms:modified>
</cp:coreProperties>
</file>

<file path=docProps/custom.xml><?xml version="1.0" encoding="utf-8"?>
<Properties xmlns="http://schemas.openxmlformats.org/officeDocument/2006/custom-properties" xmlns:vt="http://schemas.openxmlformats.org/officeDocument/2006/docPropsVTypes"/>
</file>