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他メンバー作成の計画素案への追加候補の対応表</w:t>
      </w:r>
    </w:p>
    <w:p>
      <w:pPr>
        <w:spacing w:after="120"/>
        <w:jc w:val="center"/>
      </w:pPr>
      <w:r>
        <w:rPr>
          <w:rFonts w:ascii="游ゴシック" w:hAnsi="游ゴシック" w:eastAsia="游ゴシック"/>
          <w:b w:val="0"/>
          <w:i w:val="0"/>
          <w:sz w:val="26"/>
        </w:rPr>
        <w:t>令和8年10月20日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対応表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第1部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第2部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第3部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2-5　論点漏れの点検から</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3　前回計画の目標値（№13で他素案の表に入れるもの）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4　判断をいただきたいこと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5　他素案へ入れないもの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6　当方素案以外の出所で対応が要るもの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7　あわせてお伝えすること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8　反映の手順（案）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障がい計画の素案は、他メンバー作成のもの（以下「他素案」）と、当方作成のもの（当方素案 第1版（令和8年10月15日））の2本があります。</w:t>
      </w:r>
    </w:p>
    <w:p>
      <w:pPr>
        <w:spacing w:before="60" w:after="60"/>
      </w:pPr>
      <w:r>
        <w:rPr>
          <w:rFonts w:ascii="游ゴシック" w:hAnsi="游ゴシック" w:eastAsia="游ゴシック"/>
          <w:b/>
          <w:i w:val="0"/>
          <w:sz w:val="21"/>
        </w:rPr>
        <w:t>他素案を土台にし、当方素案にしかない内容だけを足します。</w:t>
      </w:r>
      <w:r>
        <w:rPr>
          <w:rFonts w:ascii="游ゴシック" w:hAnsi="游ゴシック" w:eastAsia="游ゴシック"/>
          <w:b w:val="0"/>
          <w:i w:val="0"/>
          <w:sz w:val="21"/>
        </w:rPr>
        <w:t xml:space="preserve"> 他素案は本文約8.6万字・表177で、第3部の見込量と方策まで書き込まれています。当方素案は約3.2万字・表34で、第2部の10章は同じ構成です。</w:t>
      </w:r>
    </w:p>
    <w:p>
      <w:pPr>
        <w:spacing w:before="60" w:after="60"/>
      </w:pPr>
      <w:r>
        <w:rPr>
          <w:rFonts w:ascii="游ゴシック" w:hAnsi="游ゴシック" w:eastAsia="游ゴシック"/>
          <w:b w:val="0"/>
          <w:i w:val="0"/>
          <w:sz w:val="21"/>
        </w:rPr>
        <w:t>本書は、Wordに手を入れる前に、他素案の</w:t>
      </w:r>
      <w:r>
        <w:rPr>
          <w:rFonts w:ascii="游ゴシック" w:hAnsi="游ゴシック" w:eastAsia="游ゴシック"/>
          <w:b/>
          <w:i w:val="0"/>
          <w:sz w:val="21"/>
        </w:rPr>
        <w:t>どこへ何を足すか</w:t>
      </w:r>
      <w:r>
        <w:rPr>
          <w:rFonts w:ascii="游ゴシック" w:hAnsi="游ゴシック" w:eastAsia="游ゴシック"/>
          <w:b w:val="0"/>
          <w:i w:val="0"/>
          <w:sz w:val="21"/>
        </w:rPr>
        <w:t>を1件ずつ並べたものです。</w:t>
      </w:r>
      <w:r>
        <w:rPr>
          <w:rFonts w:ascii="游ゴシック" w:hAnsi="游ゴシック" w:eastAsia="游ゴシック"/>
          <w:b/>
          <w:i w:val="0"/>
          <w:sz w:val="21"/>
        </w:rPr>
        <w:t>ご確認をいただいてから素案に反映します。</w:t>
      </w:r>
      <w:r>
        <w:rPr>
          <w:rFonts w:ascii="游ゴシック" w:hAnsi="游ゴシック" w:eastAsia="游ゴシック"/>
          <w:b w:val="0"/>
          <w:i w:val="0"/>
          <w:sz w:val="21"/>
        </w:rPr>
        <w:t xml:space="preserve"> 他素案・当方素案・アンケート報告書のいずれも、まだ変更していません。</w:t>
      </w:r>
    </w:p>
    <w:p>
      <w:pPr>
        <w:keepNext/>
        <w:spacing w:before="200" w:after="40"/>
      </w:pPr>
      <w:r>
        <w:rPr>
          <w:rFonts w:ascii="游ゴシック" w:hAnsi="游ゴシック" w:eastAsia="游ゴシック"/>
          <w:b/>
          <w:i w:val="0"/>
          <w:color w:val="1F4D78"/>
          <w:sz w:val="22"/>
        </w:rPr>
        <w:t>【表1】扱いの区分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4"/>
        <w:gridCol w:w="7030"/>
        <w:gridCol w:w="1587"/>
      </w:tblGrid>
      <w:tr>
        <w:tc>
          <w:tcPr>
            <w:tcW w:type="dxa" w:w="1134"/>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7030"/>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1134"/>
            <w:vAlign w:val="center"/>
          </w:tcPr>
          <w:p>
            <w:pPr>
              <w:spacing w:before="20" w:after="20"/>
            </w:pPr>
            <w:r>
              <w:rPr>
                <w:rFonts w:ascii="游ゴシック" w:hAnsi="游ゴシック" w:eastAsia="游ゴシック"/>
                <w:b w:val="0"/>
                <w:i w:val="0"/>
                <w:sz w:val="17"/>
              </w:rPr>
              <w:t>追加</w:t>
            </w:r>
          </w:p>
        </w:tc>
        <w:tc>
          <w:tcPr>
            <w:tcW w:type="dxa" w:w="7030"/>
            <w:vAlign w:val="center"/>
          </w:tcPr>
          <w:p>
            <w:pPr>
              <w:spacing w:before="20" w:after="20"/>
            </w:pPr>
            <w:r>
              <w:rPr>
                <w:rFonts w:ascii="游ゴシック" w:hAnsi="游ゴシック" w:eastAsia="游ゴシック"/>
                <w:b w:val="0"/>
                <w:i w:val="0"/>
                <w:sz w:val="17"/>
              </w:rPr>
              <w:t>他素案にない内容を、節・表・注として加える</w:t>
            </w:r>
          </w:p>
        </w:tc>
        <w:tc>
          <w:tcPr>
            <w:tcW w:type="dxa" w:w="1587"/>
            <w:vAlign w:val="center"/>
          </w:tcPr>
          <w:p>
            <w:pPr>
              <w:spacing w:before="20" w:after="20"/>
            </w:pPr>
            <w:r>
              <w:rPr>
                <w:rFonts w:ascii="游ゴシック" w:hAnsi="游ゴシック" w:eastAsia="游ゴシック"/>
                <w:b/>
                <w:i w:val="0"/>
                <w:sz w:val="17"/>
              </w:rPr>
              <w:t>12件</w:t>
            </w:r>
          </w:p>
        </w:tc>
      </w:tr>
      <w:tr>
        <w:tc>
          <w:tcPr>
            <w:tcW w:type="dxa" w:w="1134"/>
            <w:vAlign w:val="center"/>
          </w:tcPr>
          <w:p>
            <w:pPr>
              <w:spacing w:before="20" w:after="20"/>
            </w:pPr>
            <w:r>
              <w:rPr>
                <w:rFonts w:ascii="游ゴシック" w:hAnsi="游ゴシック" w:eastAsia="游ゴシック"/>
                <w:b w:val="0"/>
                <w:i w:val="0"/>
                <w:sz w:val="17"/>
              </w:rPr>
              <w:t>置換</w:t>
            </w:r>
          </w:p>
        </w:tc>
        <w:tc>
          <w:tcPr>
            <w:tcW w:type="dxa" w:w="7030"/>
            <w:vAlign w:val="center"/>
          </w:tcPr>
          <w:p>
            <w:pPr>
              <w:spacing w:before="20" w:after="20"/>
            </w:pPr>
            <w:r>
              <w:rPr>
                <w:rFonts w:ascii="游ゴシック" w:hAnsi="游ゴシック" w:eastAsia="游ゴシック"/>
                <w:b w:val="0"/>
                <w:i w:val="0"/>
                <w:sz w:val="17"/>
              </w:rPr>
              <w:t>他素案の該当箇所を、当方の内容で差し替える</w:t>
            </w:r>
          </w:p>
        </w:tc>
        <w:tc>
          <w:tcPr>
            <w:tcW w:type="dxa" w:w="1587"/>
            <w:vAlign w:val="center"/>
          </w:tcPr>
          <w:p>
            <w:pPr>
              <w:spacing w:before="20" w:after="20"/>
            </w:pPr>
            <w:r>
              <w:rPr>
                <w:rFonts w:ascii="游ゴシック" w:hAnsi="游ゴシック" w:eastAsia="游ゴシック"/>
                <w:b/>
                <w:i w:val="0"/>
                <w:sz w:val="17"/>
              </w:rPr>
              <w:t>3件</w:t>
            </w:r>
          </w:p>
        </w:tc>
      </w:tr>
      <w:tr>
        <w:tc>
          <w:tcPr>
            <w:tcW w:type="dxa" w:w="1134"/>
            <w:vAlign w:val="center"/>
          </w:tcPr>
          <w:p>
            <w:pPr>
              <w:spacing w:before="20" w:after="20"/>
            </w:pPr>
            <w:r>
              <w:rPr>
                <w:rFonts w:ascii="游ゴシック" w:hAnsi="游ゴシック" w:eastAsia="游ゴシック"/>
                <w:b w:val="0"/>
                <w:i w:val="0"/>
                <w:sz w:val="17"/>
              </w:rPr>
              <w:t>補記</w:t>
            </w:r>
          </w:p>
        </w:tc>
        <w:tc>
          <w:tcPr>
            <w:tcW w:type="dxa" w:w="7030"/>
            <w:vAlign w:val="center"/>
          </w:tcPr>
          <w:p>
            <w:pPr>
              <w:spacing w:before="20" w:after="20"/>
            </w:pPr>
            <w:r>
              <w:rPr>
                <w:rFonts w:ascii="游ゴシック" w:hAnsi="游ゴシック" w:eastAsia="游ゴシック"/>
                <w:b w:val="0"/>
                <w:i w:val="0"/>
                <w:sz w:val="17"/>
              </w:rPr>
              <w:t>他素案の記述は活かし、根拠条項・注を書き足す</w:t>
            </w:r>
          </w:p>
        </w:tc>
        <w:tc>
          <w:tcPr>
            <w:tcW w:type="dxa" w:w="1587"/>
            <w:vAlign w:val="center"/>
          </w:tcPr>
          <w:p>
            <w:pPr>
              <w:spacing w:before="20" w:after="20"/>
            </w:pPr>
            <w:r>
              <w:rPr>
                <w:rFonts w:ascii="游ゴシック" w:hAnsi="游ゴシック" w:eastAsia="游ゴシック"/>
                <w:b/>
                <w:i w:val="0"/>
                <w:sz w:val="17"/>
              </w:rPr>
              <w:t>14件</w:t>
            </w:r>
          </w:p>
        </w:tc>
      </w:tr>
      <w:tr>
        <w:tc>
          <w:tcPr>
            <w:tcW w:type="dxa" w:w="1134"/>
            <w:vAlign w:val="center"/>
          </w:tcPr>
          <w:p>
            <w:pPr>
              <w:keepNext/>
              <w:spacing w:before="20" w:after="20"/>
            </w:pPr>
            <w:r>
              <w:rPr>
                <w:rFonts w:ascii="游ゴシック" w:hAnsi="游ゴシック" w:eastAsia="游ゴシック"/>
                <w:b w:val="0"/>
                <w:i w:val="0"/>
                <w:sz w:val="17"/>
              </w:rPr>
              <w:t>不要</w:t>
            </w:r>
          </w:p>
        </w:tc>
        <w:tc>
          <w:tcPr>
            <w:tcW w:type="dxa" w:w="7030"/>
            <w:vAlign w:val="center"/>
          </w:tcPr>
          <w:p>
            <w:pPr>
              <w:keepNext/>
              <w:spacing w:before="20" w:after="20"/>
            </w:pPr>
            <w:r>
              <w:rPr>
                <w:rFonts w:ascii="游ゴシック" w:hAnsi="游ゴシック" w:eastAsia="游ゴシック"/>
                <w:b w:val="0"/>
                <w:i w:val="0"/>
                <w:sz w:val="17"/>
              </w:rPr>
              <w:t>当方素案にあるが、他素案の記述で足りるため入れない</w:t>
            </w:r>
          </w:p>
        </w:tc>
        <w:tc>
          <w:tcPr>
            <w:tcW w:type="dxa" w:w="1587"/>
            <w:vAlign w:val="center"/>
          </w:tcPr>
          <w:p>
            <w:pPr>
              <w:keepNext/>
              <w:spacing w:before="20" w:after="20"/>
            </w:pPr>
            <w:r>
              <w:rPr>
                <w:rFonts w:ascii="游ゴシック" w:hAnsi="游ゴシック" w:eastAsia="游ゴシック"/>
                <w:b/>
                <w:i w:val="0"/>
                <w:sz w:val="17"/>
              </w:rPr>
              <w:t>2件</w:t>
            </w:r>
          </w:p>
        </w:tc>
      </w:tr>
      <w:tr>
        <w:tc>
          <w:tcPr>
            <w:tcW w:type="dxa" w:w="1134"/>
            <w:vAlign w:val="center"/>
          </w:tcPr>
          <w:p>
            <w:pPr>
              <w:spacing w:before="20" w:after="20"/>
            </w:pPr>
            <w:r>
              <w:rPr>
                <w:rFonts w:ascii="游ゴシック" w:hAnsi="游ゴシック" w:eastAsia="游ゴシック"/>
                <w:b/>
                <w:i w:val="0"/>
                <w:sz w:val="17"/>
              </w:rPr>
              <w:t>計</w:t>
            </w:r>
          </w:p>
        </w:tc>
        <w:tc>
          <w:tcPr>
            <w:tcW w:type="dxa" w:w="7030"/>
            <w:vAlign w:val="center"/>
          </w:tcPr>
          <w:p>
            <w:pPr>
              <w:spacing w:before="20" w:after="20"/>
            </w:pPr>
            <w:r>
              <w:rPr>
                <w:rFonts w:ascii="游ゴシック" w:hAnsi="游ゴシック" w:eastAsia="游ゴシック"/>
                <w:b w:val="0"/>
                <w:i w:val="0"/>
                <w:sz w:val="17"/>
              </w:rPr>
              <w:t>―</w:t>
            </w:r>
          </w:p>
        </w:tc>
        <w:tc>
          <w:tcPr>
            <w:tcW w:type="dxa" w:w="1587"/>
            <w:vAlign w:val="center"/>
          </w:tcPr>
          <w:p>
            <w:pPr>
              <w:spacing w:before="20" w:after="20"/>
            </w:pPr>
            <w:r>
              <w:rPr>
                <w:rFonts w:ascii="游ゴシック" w:hAnsi="游ゴシック" w:eastAsia="游ゴシック"/>
                <w:b/>
                <w:i w:val="0"/>
                <w:sz w:val="17"/>
              </w:rPr>
              <w:t>31件</w:t>
            </w:r>
          </w:p>
        </w:tc>
      </w:tr>
    </w:tbl>
    <w:p>
      <w:pPr>
        <w:spacing w:after="40"/>
      </w:pPr>
    </w:p>
    <w:p>
      <w:pPr>
        <w:spacing w:before="60" w:after="60"/>
      </w:pPr>
      <w:r>
        <w:rPr>
          <w:rFonts w:ascii="游ゴシック" w:hAnsi="游ゴシック" w:eastAsia="游ゴシック"/>
          <w:b/>
          <w:i w:val="0"/>
          <w:sz w:val="21"/>
        </w:rPr>
        <w:t>優先「高」は9件です。</w:t>
      </w:r>
      <w:r>
        <w:rPr>
          <w:rFonts w:ascii="游ゴシック" w:hAnsi="游ゴシック" w:eastAsia="游ゴシック"/>
          <w:b w:val="0"/>
          <w:i w:val="0"/>
          <w:sz w:val="21"/>
        </w:rPr>
        <w:t xml:space="preserve"> レビューMD（令和8年10月20日）の指摘1-3・1-5の解消に直結するもの、本計画の初日に施行される法定の事項、告示が「ものとする」とする見込量の定め方と成果目標の置き方の誤りです。</w:t>
      </w:r>
    </w:p>
    <w:p>
      <w:pPr>
        <w:pStyle w:val="Heading1"/>
        <w:keepNext/>
        <w:spacing w:before="240" w:after="100"/>
      </w:pPr>
      <w:bookmarkStart w:id="102" w:name="_Toc_002"/>
      <w:r>
        <w:rPr>
          <w:rFonts w:ascii="游ゴシック" w:hAnsi="游ゴシック" w:eastAsia="游ゴシック"/>
          <w:b/>
          <w:i w:val="0"/>
          <w:color w:val="2E74B5"/>
          <w:sz w:val="30"/>
        </w:rPr>
        <w:t>2　対応表</w:t>
      </w:r>
      <w:bookmarkEnd w:id="102"/>
    </w:p>
    <w:p>
      <w:pPr>
        <w:spacing w:before="60" w:after="60"/>
      </w:pPr>
      <w:r>
        <w:rPr>
          <w:rFonts w:ascii="游ゴシック" w:hAnsi="游ゴシック" w:eastAsia="游ゴシック"/>
          <w:b w:val="0"/>
          <w:i w:val="0"/>
          <w:sz w:val="21"/>
        </w:rPr>
        <w:t>他素案の章節の順に並べています。「レビュー」の欄は、レビューMDの指摘番号のうち、この追加で解消に近づくものです。</w:t>
      </w:r>
    </w:p>
    <w:p>
      <w:pPr>
        <w:pStyle w:val="Heading2"/>
        <w:keepNext/>
        <w:spacing w:before="180" w:after="100"/>
      </w:pPr>
      <w:bookmarkStart w:id="103" w:name="_Toc_003"/>
      <w:r>
        <w:rPr>
          <w:rFonts w:ascii="游ゴシック" w:hAnsi="游ゴシック" w:eastAsia="游ゴシック"/>
          <w:b/>
          <w:i w:val="0"/>
          <w:color w:val="2E74B5"/>
          <w:sz w:val="25"/>
        </w:rPr>
        <w:t>2-1　第1部</w:t>
      </w:r>
      <w:bookmarkEnd w:id="103"/>
    </w:p>
    <w:p>
      <w:pPr>
        <w:keepNext/>
        <w:spacing w:before="200" w:after="40"/>
      </w:pPr>
      <w:r>
        <w:rPr>
          <w:rFonts w:ascii="游ゴシック" w:hAnsi="游ゴシック" w:eastAsia="游ゴシック"/>
          <w:b/>
          <w:i w:val="0"/>
          <w:color w:val="1F4D78"/>
          <w:sz w:val="22"/>
        </w:rPr>
        <w:t>【表2】対応表（第1部）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587"/>
        <w:gridCol w:w="2835"/>
        <w:gridCol w:w="624"/>
        <w:gridCol w:w="3118"/>
        <w:gridCol w:w="567"/>
        <w:gridCol w:w="567"/>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他素案の箇所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足す内容</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3118"/>
            <w:shd w:val="clear" w:fill="1F3864"/>
            <w:vAlign w:val="center"/>
          </w:tcPr>
          <w:p>
            <w:pPr>
              <w:spacing w:before="20" w:after="20"/>
              <w:jc w:val="center"/>
            </w:pPr>
            <w:r>
              <w:rPr>
                <w:rFonts w:ascii="游ゴシック" w:hAnsi="游ゴシック" w:eastAsia="游ゴシック"/>
                <w:b/>
                <w:i w:val="0"/>
                <w:color w:val="FFFFFF"/>
                <w:sz w:val="17"/>
              </w:rPr>
              <w:t>理由・根拠</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レビュー</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454"/>
            <w:vAlign w:val="center"/>
          </w:tcPr>
          <w:p>
            <w:pPr>
              <w:spacing w:before="20" w:after="20"/>
            </w:pPr>
            <w:r>
              <w:rPr>
                <w:rFonts w:ascii="游ゴシック" w:hAnsi="游ゴシック" w:eastAsia="游ゴシック"/>
                <w:b w:val="0"/>
                <w:i w:val="0"/>
                <w:sz w:val="17"/>
              </w:rPr>
              <w:t>1</w:t>
            </w:r>
          </w:p>
        </w:tc>
        <w:tc>
          <w:tcPr>
            <w:tcW w:type="dxa" w:w="1587"/>
            <w:vAlign w:val="center"/>
          </w:tcPr>
          <w:p>
            <w:pPr>
              <w:spacing w:before="20" w:after="20"/>
            </w:pPr>
            <w:r>
              <w:rPr>
                <w:rFonts w:ascii="游ゴシック" w:hAnsi="游ゴシック" w:eastAsia="游ゴシック"/>
                <w:b w:val="0"/>
                <w:i w:val="0"/>
                <w:sz w:val="17"/>
              </w:rPr>
              <w:t>第1部第1章1　計画策定の背景と趣旨</w:t>
            </w:r>
          </w:p>
        </w:tc>
        <w:tc>
          <w:tcPr>
            <w:tcW w:type="dxa" w:w="2835"/>
            <w:vAlign w:val="center"/>
          </w:tcPr>
          <w:p>
            <w:pPr>
              <w:spacing w:before="20" w:after="20"/>
            </w:pPr>
            <w:r>
              <w:rPr>
                <w:rFonts w:ascii="游ゴシック" w:hAnsi="游ゴシック" w:eastAsia="游ゴシック"/>
                <w:b w:val="0"/>
                <w:i w:val="0"/>
                <w:sz w:val="17"/>
              </w:rPr>
              <w:t>社会福祉法等の一部を改正する法律（</w:t>
            </w:r>
            <w:r>
              <w:rPr>
                <w:rFonts w:ascii="游ゴシック" w:hAnsi="游ゴシック" w:eastAsia="游ゴシック"/>
                <w:b/>
                <w:i w:val="0"/>
                <w:sz w:val="17"/>
              </w:rPr>
              <w:t>令和8年法律第51号</w:t>
            </w:r>
            <w:r>
              <w:rPr>
                <w:rFonts w:ascii="游ゴシック" w:hAnsi="游ゴシック" w:eastAsia="游ゴシック"/>
                <w:b w:val="0"/>
                <w:i w:val="0"/>
                <w:sz w:val="17"/>
              </w:rPr>
              <w:t>、公布 令和8年6月25日）と医療的ケア児支援法の改正（</w:t>
            </w:r>
            <w:r>
              <w:rPr>
                <w:rFonts w:ascii="游ゴシック" w:hAnsi="游ゴシック" w:eastAsia="游ゴシック"/>
                <w:b/>
                <w:i w:val="0"/>
                <w:sz w:val="17"/>
              </w:rPr>
              <w:t>令和8年法律第77号</w:t>
            </w:r>
            <w:r>
              <w:rPr>
                <w:rFonts w:ascii="游ゴシック" w:hAnsi="游ゴシック" w:eastAsia="游ゴシック"/>
                <w:b w:val="0"/>
                <w:i w:val="0"/>
                <w:sz w:val="17"/>
              </w:rPr>
              <w:t>）の法律番号。本計画に関わる規定の施行日が</w:t>
            </w:r>
            <w:r>
              <w:rPr>
                <w:rFonts w:ascii="游ゴシック" w:hAnsi="游ゴシック" w:eastAsia="游ゴシック"/>
                <w:b/>
                <w:i w:val="0"/>
                <w:sz w:val="17"/>
              </w:rPr>
              <w:t>令和9年4月1日＝本計画の初日</w:t>
            </w:r>
            <w:r>
              <w:rPr>
                <w:rFonts w:ascii="游ゴシック" w:hAnsi="游ゴシック" w:eastAsia="游ゴシック"/>
                <w:b w:val="0"/>
                <w:i w:val="0"/>
                <w:sz w:val="17"/>
              </w:rPr>
              <w:t>であること</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法律名のみで、施行は「令和9年4月から順次施行」としている。施行日は法令API（e-Gov、令和9年4月1日時点の条文）で確認済み。なお法律第51号の施行は段階的（令和8年6月25日〜令和11年6月24日）（当方：第1部第1章1）</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2</w:t>
            </w:r>
          </w:p>
        </w:tc>
        <w:tc>
          <w:tcPr>
            <w:tcW w:type="dxa" w:w="1587"/>
            <w:vAlign w:val="center"/>
          </w:tcPr>
          <w:p>
            <w:pPr>
              <w:spacing w:before="20" w:after="20"/>
            </w:pPr>
            <w:r>
              <w:rPr>
                <w:rFonts w:ascii="游ゴシック" w:hAnsi="游ゴシック" w:eastAsia="游ゴシック"/>
                <w:b w:val="0"/>
                <w:i w:val="0"/>
                <w:sz w:val="17"/>
              </w:rPr>
              <w:t>第1部第1章2（1）（2）　根拠法令・他の計画との関係</w:t>
            </w:r>
          </w:p>
        </w:tc>
        <w:tc>
          <w:tcPr>
            <w:tcW w:type="dxa" w:w="2835"/>
            <w:vAlign w:val="center"/>
          </w:tcPr>
          <w:p>
            <w:pPr>
              <w:spacing w:before="20" w:after="20"/>
            </w:pPr>
            <w:r>
              <w:rPr>
                <w:rFonts w:ascii="游ゴシック" w:hAnsi="游ゴシック" w:eastAsia="游ゴシック"/>
                <w:b/>
                <w:i w:val="0"/>
                <w:sz w:val="17"/>
              </w:rPr>
              <w:t>調和の根拠条項</w:t>
            </w:r>
            <w:r>
              <w:rPr>
                <w:rFonts w:ascii="游ゴシック" w:hAnsi="游ゴシック" w:eastAsia="游ゴシック"/>
                <w:b w:val="0"/>
                <w:i w:val="0"/>
                <w:sz w:val="17"/>
              </w:rPr>
              <w:t>＝障害者総合支援法</w:t>
            </w:r>
            <w:r>
              <w:rPr>
                <w:rFonts w:ascii="游ゴシック" w:hAnsi="游ゴシック" w:eastAsia="游ゴシック"/>
                <w:b/>
                <w:i w:val="0"/>
                <w:sz w:val="17"/>
              </w:rPr>
              <w:t>第88条第7項</w:t>
            </w:r>
            <w:r>
              <w:rPr>
                <w:rFonts w:ascii="游ゴシック" w:hAnsi="游ゴシック" w:eastAsia="游ゴシック"/>
                <w:b w:val="0"/>
                <w:i w:val="0"/>
                <w:sz w:val="17"/>
              </w:rPr>
              <w:t>・児童福祉法</w:t>
            </w:r>
            <w:r>
              <w:rPr>
                <w:rFonts w:ascii="游ゴシック" w:hAnsi="游ゴシック" w:eastAsia="游ゴシック"/>
                <w:b/>
                <w:i w:val="0"/>
                <w:sz w:val="17"/>
              </w:rPr>
              <w:t>第33条の20第7項</w:t>
            </w:r>
            <w:r>
              <w:rPr>
                <w:rFonts w:ascii="游ゴシック" w:hAnsi="游ゴシック" w:eastAsia="游ゴシック"/>
                <w:b w:val="0"/>
                <w:i w:val="0"/>
                <w:sz w:val="17"/>
              </w:rPr>
              <w:t>（市町村障害者計画・市町村地域福祉計画等との調和）。障がい福祉計画と障がい児福祉計画の</w:t>
            </w:r>
            <w:r>
              <w:rPr>
                <w:rFonts w:ascii="游ゴシック" w:hAnsi="游ゴシック" w:eastAsia="游ゴシック"/>
                <w:b/>
                <w:i w:val="0"/>
                <w:sz w:val="17"/>
              </w:rPr>
              <w:t>一体作成</w:t>
            </w:r>
            <w:r>
              <w:rPr>
                <w:rFonts w:ascii="游ゴシック" w:hAnsi="游ゴシック" w:eastAsia="游ゴシック"/>
                <w:b w:val="0"/>
                <w:i w:val="0"/>
                <w:sz w:val="17"/>
              </w:rPr>
              <w:t>＝第88条第6項</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他素案は「整合性と調和を図り」とし、条項を引いていない。</w:t>
            </w:r>
            <w:r>
              <w:rPr>
                <w:rFonts w:ascii="游ゴシック" w:hAnsi="游ゴシック" w:eastAsia="游ゴシック"/>
                <w:b/>
                <w:i w:val="0"/>
                <w:sz w:val="17"/>
              </w:rPr>
              <w:t>障がい2法の語は「調和」であり「整合性の確保」ではない。</w:t>
            </w:r>
            <w:r>
              <w:rPr>
                <w:rFonts w:ascii="游ゴシック" w:hAnsi="游ゴシック" w:eastAsia="游ゴシック"/>
                <w:b w:val="0"/>
                <w:i w:val="0"/>
                <w:sz w:val="17"/>
              </w:rPr>
              <w:t>当方は一度「第5項」と誤り、法令APIの条文で第7項に訂正した経緯がある（当方：第1部第1章2・4）</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3</w:t>
            </w:r>
          </w:p>
        </w:tc>
        <w:tc>
          <w:tcPr>
            <w:tcW w:type="dxa" w:w="1587"/>
            <w:vAlign w:val="center"/>
          </w:tcPr>
          <w:p>
            <w:pPr>
              <w:spacing w:before="20" w:after="20"/>
            </w:pPr>
            <w:r>
              <w:rPr>
                <w:rFonts w:ascii="游ゴシック" w:hAnsi="游ゴシック" w:eastAsia="游ゴシック"/>
                <w:b w:val="0"/>
                <w:i w:val="0"/>
                <w:sz w:val="17"/>
              </w:rPr>
              <w:t>第1部第1章4（1）　策定体制</w:t>
            </w:r>
          </w:p>
        </w:tc>
        <w:tc>
          <w:tcPr>
            <w:tcW w:type="dxa" w:w="2835"/>
            <w:vAlign w:val="center"/>
          </w:tcPr>
          <w:p>
            <w:pPr>
              <w:spacing w:before="20" w:after="20"/>
            </w:pPr>
            <w:r>
              <w:rPr>
                <w:rFonts w:ascii="游ゴシック" w:hAnsi="游ゴシック" w:eastAsia="游ゴシック"/>
                <w:b w:val="0"/>
                <w:i w:val="0"/>
                <w:sz w:val="17"/>
              </w:rPr>
              <w:t>協議会の意見聴取の根拠＝第88条</w:t>
            </w:r>
            <w:r>
              <w:rPr>
                <w:rFonts w:ascii="游ゴシック" w:hAnsi="游ゴシック" w:eastAsia="游ゴシック"/>
                <w:b/>
                <w:i w:val="0"/>
                <w:sz w:val="17"/>
              </w:rPr>
              <w:t>第9項</w:t>
            </w:r>
            <w:r>
              <w:rPr>
                <w:rFonts w:ascii="游ゴシック" w:hAnsi="游ゴシック" w:eastAsia="游ゴシック"/>
                <w:b w:val="0"/>
                <w:i w:val="0"/>
                <w:sz w:val="17"/>
              </w:rPr>
              <w:t>・第33条の20</w:t>
            </w:r>
            <w:r>
              <w:rPr>
                <w:rFonts w:ascii="游ゴシック" w:hAnsi="游ゴシック" w:eastAsia="游ゴシック"/>
                <w:b/>
                <w:i w:val="0"/>
                <w:sz w:val="17"/>
              </w:rPr>
              <w:t>第9項</w:t>
            </w:r>
            <w:r>
              <w:rPr>
                <w:rFonts w:ascii="游ゴシック" w:hAnsi="游ゴシック" w:eastAsia="游ゴシック"/>
                <w:b w:val="0"/>
                <w:i w:val="0"/>
                <w:sz w:val="17"/>
              </w:rPr>
              <w:t>（努力義務）</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他素案は意見を受ける体制を書くが、根拠条項がない（当方：第1部第1章5）</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4</w:t>
            </w:r>
          </w:p>
        </w:tc>
        <w:tc>
          <w:tcPr>
            <w:tcW w:type="dxa" w:w="1587"/>
            <w:vAlign w:val="center"/>
          </w:tcPr>
          <w:p>
            <w:pPr>
              <w:spacing w:before="20" w:after="20"/>
            </w:pPr>
            <w:r>
              <w:rPr>
                <w:rFonts w:ascii="游ゴシック" w:hAnsi="游ゴシック" w:eastAsia="游ゴシック"/>
                <w:b w:val="0"/>
                <w:i w:val="0"/>
                <w:sz w:val="17"/>
              </w:rPr>
              <w:t>第1部第2章1・2　進行管理・年次の点検評価</w:t>
            </w:r>
          </w:p>
        </w:tc>
        <w:tc>
          <w:tcPr>
            <w:tcW w:type="dxa" w:w="2835"/>
            <w:vAlign w:val="center"/>
          </w:tcPr>
          <w:p>
            <w:pPr>
              <w:spacing w:before="20" w:after="20"/>
            </w:pPr>
            <w:r>
              <w:rPr>
                <w:rFonts w:ascii="游ゴシック" w:hAnsi="游ゴシック" w:eastAsia="游ゴシック"/>
                <w:b w:val="0"/>
                <w:i w:val="0"/>
                <w:sz w:val="17"/>
              </w:rPr>
              <w:t>調査・分析・評価の根拠＝障害者総合支援法</w:t>
            </w:r>
            <w:r>
              <w:rPr>
                <w:rFonts w:ascii="游ゴシック" w:hAnsi="游ゴシック" w:eastAsia="游ゴシック"/>
                <w:b/>
                <w:i w:val="0"/>
                <w:sz w:val="17"/>
              </w:rPr>
              <w:t>第88条の2</w:t>
            </w:r>
            <w:r>
              <w:rPr>
                <w:rFonts w:ascii="游ゴシック" w:hAnsi="游ゴシック" w:eastAsia="游ゴシック"/>
                <w:b w:val="0"/>
                <w:i w:val="0"/>
                <w:sz w:val="17"/>
              </w:rPr>
              <w:t>・児童福祉法</w:t>
            </w:r>
            <w:r>
              <w:rPr>
                <w:rFonts w:ascii="游ゴシック" w:hAnsi="游ゴシック" w:eastAsia="游ゴシック"/>
                <w:b/>
                <w:i w:val="0"/>
                <w:sz w:val="17"/>
              </w:rPr>
              <w:t>第33条の20の2</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他素案の本文は「障害者総合支援法において」とするのみ（ワークシートの加筆対照表には第88条の2の記載がある）（当方：第1部第1章7）</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低</w:t>
            </w:r>
          </w:p>
        </w:tc>
      </w:tr>
      <w:tr>
        <w:tc>
          <w:tcPr>
            <w:tcW w:type="dxa" w:w="454"/>
            <w:vAlign w:val="center"/>
          </w:tcPr>
          <w:p>
            <w:pPr>
              <w:keepNext/>
              <w:spacing w:before="20" w:after="20"/>
            </w:pPr>
            <w:r>
              <w:rPr>
                <w:rFonts w:ascii="游ゴシック" w:hAnsi="游ゴシック" w:eastAsia="游ゴシック"/>
                <w:b w:val="0"/>
                <w:i w:val="0"/>
                <w:sz w:val="17"/>
              </w:rPr>
              <w:t>5</w:t>
            </w:r>
          </w:p>
        </w:tc>
        <w:tc>
          <w:tcPr>
            <w:tcW w:type="dxa" w:w="1587"/>
            <w:vAlign w:val="center"/>
          </w:tcPr>
          <w:p>
            <w:pPr>
              <w:keepNext/>
              <w:spacing w:before="20" w:after="20"/>
            </w:pPr>
            <w:r>
              <w:rPr>
                <w:rFonts w:ascii="游ゴシック" w:hAnsi="游ゴシック" w:eastAsia="游ゴシック"/>
                <w:b w:val="0"/>
                <w:i w:val="0"/>
                <w:sz w:val="17"/>
              </w:rPr>
              <w:t>第1部第3章2　障がい者数等</w:t>
            </w:r>
          </w:p>
        </w:tc>
        <w:tc>
          <w:tcPr>
            <w:tcW w:type="dxa" w:w="2835"/>
            <w:vAlign w:val="center"/>
          </w:tcPr>
          <w:p>
            <w:pPr>
              <w:keepNext/>
              <w:spacing w:before="20" w:after="20"/>
            </w:pPr>
            <w:r>
              <w:rPr>
                <w:rFonts w:ascii="游ゴシック" w:hAnsi="游ゴシック" w:eastAsia="游ゴシック"/>
                <w:b w:val="0"/>
                <w:i w:val="0"/>
                <w:sz w:val="17"/>
              </w:rPr>
              <w:t>手帳所持者数の推移と、令和元年＝100とした指数の図</w:t>
            </w:r>
          </w:p>
        </w:tc>
        <w:tc>
          <w:tcPr>
            <w:tcW w:type="dxa" w:w="624"/>
            <w:vAlign w:val="center"/>
          </w:tcPr>
          <w:p>
            <w:pPr>
              <w:keepNext/>
              <w:spacing w:before="20" w:after="20"/>
            </w:pPr>
            <w:r>
              <w:rPr>
                <w:rFonts w:ascii="游ゴシック" w:hAnsi="游ゴシック" w:eastAsia="游ゴシック"/>
                <w:b/>
                <w:i w:val="0"/>
                <w:sz w:val="17"/>
              </w:rPr>
              <w:t>不要</w:t>
            </w:r>
          </w:p>
        </w:tc>
        <w:tc>
          <w:tcPr>
            <w:tcW w:type="dxa" w:w="3118"/>
            <w:vAlign w:val="center"/>
          </w:tcPr>
          <w:p>
            <w:pPr>
              <w:keepNext/>
              <w:spacing w:before="20" w:after="20"/>
            </w:pPr>
            <w:r>
              <w:rPr>
                <w:rFonts w:ascii="游ゴシック" w:hAnsi="游ゴシック" w:eastAsia="游ゴシック"/>
                <w:b/>
                <w:i w:val="0"/>
                <w:sz w:val="17"/>
              </w:rPr>
              <w:t>他素案の系列（令和3〜8年度）を採る。</w:t>
            </w:r>
            <w:r>
              <w:rPr>
                <w:rFonts w:ascii="游ゴシック" w:hAnsi="游ゴシック" w:eastAsia="游ゴシック"/>
                <w:b w:val="0"/>
                <w:i w:val="0"/>
                <w:sz w:val="17"/>
              </w:rPr>
              <w:t xml:space="preserve"> ただし時点が異なる。他素案は令和8年495人（各年1月1日・地域福祉計画）、当方は令和7年508人（各年4月1日・健康福祉課）。</w:t>
            </w:r>
            <w:r>
              <w:rPr>
                <w:rFonts w:ascii="游ゴシック" w:hAnsi="游ゴシック" w:eastAsia="游ゴシック"/>
                <w:b/>
                <w:i w:val="0"/>
                <w:sz w:val="17"/>
              </w:rPr>
              <w:t>同じ計画に同じ年の値が2通り載らないよう、時点を1つに決める。</w:t>
            </w:r>
            <w:r>
              <w:rPr>
                <w:rFonts w:ascii="游ゴシック" w:hAnsi="游ゴシック" w:eastAsia="游ゴシック"/>
                <w:b w:val="0"/>
                <w:i w:val="0"/>
                <w:sz w:val="17"/>
              </w:rPr>
              <w:t>図1は他素案の系列で描き直せば流用できる（当方：第1部第2章2（表10・図1））</w:t>
            </w:r>
          </w:p>
        </w:tc>
        <w:tc>
          <w:tcPr>
            <w:tcW w:type="dxa" w:w="567"/>
            <w:vAlign w:val="center"/>
          </w:tcPr>
          <w:p>
            <w:pPr>
              <w:keepNext/>
              <w:spacing w:before="20" w:after="20"/>
            </w:pPr>
            <w:r>
              <w:rPr>
                <w:rFonts w:ascii="游ゴシック" w:hAnsi="游ゴシック" w:eastAsia="游ゴシック"/>
                <w:b w:val="0"/>
                <w:i w:val="0"/>
                <w:sz w:val="17"/>
              </w:rPr>
              <w:t>―</w:t>
            </w:r>
          </w:p>
        </w:tc>
        <w:tc>
          <w:tcPr>
            <w:tcW w:type="dxa" w:w="567"/>
            <w:vAlign w:val="center"/>
          </w:tcPr>
          <w:p>
            <w:pPr>
              <w:keepNext/>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6</w:t>
            </w:r>
          </w:p>
        </w:tc>
        <w:tc>
          <w:tcPr>
            <w:tcW w:type="dxa" w:w="1587"/>
            <w:vAlign w:val="center"/>
          </w:tcPr>
          <w:p>
            <w:pPr>
              <w:spacing w:before="20" w:after="20"/>
            </w:pPr>
            <w:r>
              <w:rPr>
                <w:rFonts w:ascii="游ゴシック" w:hAnsi="游ゴシック" w:eastAsia="游ゴシック"/>
                <w:b w:val="0"/>
                <w:i w:val="0"/>
                <w:sz w:val="17"/>
              </w:rPr>
              <w:t>第1部第3章　新設「6　前計画の施策の取組状況」</w:t>
            </w:r>
          </w:p>
        </w:tc>
        <w:tc>
          <w:tcPr>
            <w:tcW w:type="dxa" w:w="2835"/>
            <w:vAlign w:val="center"/>
          </w:tcPr>
          <w:p>
            <w:pPr>
              <w:spacing w:before="20" w:after="20"/>
            </w:pPr>
            <w:r>
              <w:rPr>
                <w:rFonts w:ascii="游ゴシック" w:hAnsi="游ゴシック" w:eastAsia="游ゴシック"/>
                <w:b w:val="0"/>
                <w:i w:val="0"/>
                <w:sz w:val="17"/>
              </w:rPr>
              <w:t>前回計画の第2部が</w:t>
            </w:r>
            <w:r>
              <w:rPr>
                <w:rFonts w:ascii="游ゴシック" w:hAnsi="游ゴシック" w:eastAsia="游ゴシック"/>
                <w:b/>
                <w:i w:val="0"/>
                <w:sz w:val="17"/>
              </w:rPr>
              <w:t>9分野・49項目・96取組</w:t>
            </w:r>
            <w:r>
              <w:rPr>
                <w:rFonts w:ascii="游ゴシック" w:hAnsi="游ゴシック" w:eastAsia="游ゴシック"/>
                <w:b w:val="0"/>
                <w:i w:val="0"/>
                <w:sz w:val="17"/>
              </w:rPr>
              <w:t>であったことと、本計画の第2部への引き継ぎ方（9分野をすべて引き継ぎ、3つを組み替え）</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他素案には前計画の施策の点検がない（評価は第3部第5章の成果目標のみ）。項目・取組の数は前回計画の原本から数えたもの。</w:t>
            </w:r>
            <w:r>
              <w:rPr>
                <w:rFonts w:ascii="游ゴシック" w:hAnsi="游ゴシック" w:eastAsia="游ゴシック"/>
                <w:b/>
                <w:i w:val="0"/>
                <w:sz w:val="17"/>
              </w:rPr>
              <w:t>各取組の実施状況は町の確認待ち。</w:t>
            </w:r>
            <w:r>
              <w:rPr>
                <w:rFonts w:ascii="游ゴシック" w:hAnsi="游ゴシック" w:eastAsia="游ゴシック"/>
                <w:b w:val="0"/>
                <w:i w:val="0"/>
                <w:sz w:val="17"/>
              </w:rPr>
              <w:t xml:space="preserve"> 前回計画の誤記2件（第10章のヘッダ・節名）は計画本文には載せない（当方：第1部第3章3（表14））</w:t>
            </w:r>
          </w:p>
        </w:tc>
        <w:tc>
          <w:tcPr>
            <w:tcW w:type="dxa" w:w="567"/>
            <w:vAlign w:val="center"/>
          </w:tcPr>
          <w:p>
            <w:pPr>
              <w:spacing w:before="20" w:after="20"/>
            </w:pPr>
            <w:r>
              <w:rPr>
                <w:rFonts w:ascii="游ゴシック" w:hAnsi="游ゴシック" w:eastAsia="游ゴシック"/>
                <w:b w:val="0"/>
                <w:i w:val="0"/>
                <w:sz w:val="17"/>
              </w:rPr>
              <w:t>1-1</w:t>
            </w:r>
          </w:p>
        </w:tc>
        <w:tc>
          <w:tcPr>
            <w:tcW w:type="dxa" w:w="567"/>
            <w:vAlign w:val="center"/>
          </w:tcPr>
          <w:p>
            <w:pPr>
              <w:spacing w:before="20" w:after="20"/>
            </w:pPr>
            <w:r>
              <w:rPr>
                <w:rFonts w:ascii="游ゴシック" w:hAnsi="游ゴシック" w:eastAsia="游ゴシック"/>
                <w:b w:val="0"/>
                <w:i w:val="0"/>
                <w:sz w:val="17"/>
              </w:rPr>
              <w:t>中</w:t>
            </w:r>
          </w:p>
        </w:tc>
      </w:tr>
    </w:tbl>
    <w:p>
      <w:pPr>
        <w:spacing w:after="40"/>
      </w:pPr>
    </w:p>
    <w:p>
      <w:pPr>
        <w:pStyle w:val="Heading2"/>
        <w:keepNext/>
        <w:spacing w:before="180" w:after="100"/>
      </w:pPr>
      <w:bookmarkStart w:id="104" w:name="_Toc_004"/>
      <w:r>
        <w:rPr>
          <w:rFonts w:ascii="游ゴシック" w:hAnsi="游ゴシック" w:eastAsia="游ゴシック"/>
          <w:b/>
          <w:i w:val="0"/>
          <w:color w:val="2E74B5"/>
          <w:sz w:val="25"/>
        </w:rPr>
        <w:t>2-2　第2部</w:t>
      </w:r>
      <w:bookmarkEnd w:id="104"/>
    </w:p>
    <w:p>
      <w:pPr>
        <w:keepNext/>
        <w:spacing w:before="200" w:after="40"/>
      </w:pPr>
      <w:r>
        <w:rPr>
          <w:rFonts w:ascii="游ゴシック" w:hAnsi="游ゴシック" w:eastAsia="游ゴシック"/>
          <w:b/>
          <w:i w:val="0"/>
          <w:color w:val="1F4D78"/>
          <w:sz w:val="22"/>
        </w:rPr>
        <w:t>【表3】対応表（第2部）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587"/>
        <w:gridCol w:w="2835"/>
        <w:gridCol w:w="624"/>
        <w:gridCol w:w="3118"/>
        <w:gridCol w:w="567"/>
        <w:gridCol w:w="567"/>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他素案の箇所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足す内容</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3118"/>
            <w:shd w:val="clear" w:fill="1F3864"/>
            <w:vAlign w:val="center"/>
          </w:tcPr>
          <w:p>
            <w:pPr>
              <w:spacing w:before="20" w:after="20"/>
              <w:jc w:val="center"/>
            </w:pPr>
            <w:r>
              <w:rPr>
                <w:rFonts w:ascii="游ゴシック" w:hAnsi="游ゴシック" w:eastAsia="游ゴシック"/>
                <w:b/>
                <w:i w:val="0"/>
                <w:color w:val="FFFFFF"/>
                <w:sz w:val="17"/>
              </w:rPr>
              <w:t>理由・根拠</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レビュー</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454"/>
            <w:vAlign w:val="center"/>
          </w:tcPr>
          <w:p>
            <w:pPr>
              <w:spacing w:before="20" w:after="20"/>
            </w:pPr>
            <w:r>
              <w:rPr>
                <w:rFonts w:ascii="游ゴシック" w:hAnsi="游ゴシック" w:eastAsia="游ゴシック"/>
                <w:b w:val="0"/>
                <w:i w:val="0"/>
                <w:sz w:val="17"/>
              </w:rPr>
              <w:t>7</w:t>
            </w:r>
          </w:p>
        </w:tc>
        <w:tc>
          <w:tcPr>
            <w:tcW w:type="dxa" w:w="1587"/>
            <w:vAlign w:val="center"/>
          </w:tcPr>
          <w:p>
            <w:pPr>
              <w:spacing w:before="20" w:after="20"/>
            </w:pPr>
            <w:r>
              <w:rPr>
                <w:rFonts w:ascii="游ゴシック" w:hAnsi="游ゴシック" w:eastAsia="游ゴシック"/>
                <w:b w:val="0"/>
                <w:i w:val="0"/>
                <w:sz w:val="17"/>
              </w:rPr>
              <w:t>第2部第3章1　住宅の確保</w:t>
            </w:r>
          </w:p>
        </w:tc>
        <w:tc>
          <w:tcPr>
            <w:tcW w:type="dxa" w:w="2835"/>
            <w:vAlign w:val="center"/>
          </w:tcPr>
          <w:p>
            <w:pPr>
              <w:spacing w:before="20" w:after="20"/>
            </w:pPr>
            <w:r>
              <w:rPr>
                <w:rFonts w:ascii="游ゴシック" w:hAnsi="游ゴシック" w:eastAsia="游ゴシック"/>
                <w:b w:val="0"/>
                <w:i w:val="0"/>
                <w:sz w:val="17"/>
              </w:rPr>
              <w:t>居住支援協議会（住宅セーフティネット法）との連携</w:t>
            </w:r>
          </w:p>
        </w:tc>
        <w:tc>
          <w:tcPr>
            <w:tcW w:type="dxa" w:w="624"/>
            <w:vAlign w:val="center"/>
          </w:tcPr>
          <w:p>
            <w:pPr>
              <w:spacing w:before="20" w:after="20"/>
            </w:pPr>
            <w:r>
              <w:rPr>
                <w:rFonts w:ascii="游ゴシック" w:hAnsi="游ゴシック" w:eastAsia="游ゴシック"/>
                <w:b/>
                <w:i w:val="0"/>
                <w:sz w:val="17"/>
              </w:rPr>
              <w:t>不要</w:t>
            </w:r>
          </w:p>
        </w:tc>
        <w:tc>
          <w:tcPr>
            <w:tcW w:type="dxa" w:w="3118"/>
            <w:vAlign w:val="center"/>
          </w:tcPr>
          <w:p>
            <w:pPr>
              <w:spacing w:before="20" w:after="20"/>
            </w:pPr>
            <w:r>
              <w:rPr>
                <w:rFonts w:ascii="游ゴシック" w:hAnsi="游ゴシック" w:eastAsia="游ゴシック"/>
                <w:b w:val="0"/>
                <w:i w:val="0"/>
                <w:sz w:val="17"/>
              </w:rPr>
              <w:t>他素案に居住支援協議会・住宅セーフティネット制度の記述がある（当方：第2部第3章）</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w:t>
            </w:r>
          </w:p>
        </w:tc>
      </w:tr>
      <w:tr>
        <w:tc>
          <w:tcPr>
            <w:tcW w:type="dxa" w:w="454"/>
            <w:vAlign w:val="center"/>
          </w:tcPr>
          <w:p>
            <w:pPr>
              <w:keepNext/>
              <w:spacing w:before="20" w:after="20"/>
            </w:pPr>
            <w:r>
              <w:rPr>
                <w:rFonts w:ascii="游ゴシック" w:hAnsi="游ゴシック" w:eastAsia="游ゴシック"/>
                <w:b w:val="0"/>
                <w:i w:val="0"/>
                <w:sz w:val="17"/>
              </w:rPr>
              <w:t>8</w:t>
            </w:r>
          </w:p>
        </w:tc>
        <w:tc>
          <w:tcPr>
            <w:tcW w:type="dxa" w:w="1587"/>
            <w:vAlign w:val="center"/>
          </w:tcPr>
          <w:p>
            <w:pPr>
              <w:keepNext/>
              <w:spacing w:before="20" w:after="20"/>
            </w:pPr>
            <w:r>
              <w:rPr>
                <w:rFonts w:ascii="游ゴシック" w:hAnsi="游ゴシック" w:eastAsia="游ゴシック"/>
                <w:b w:val="0"/>
                <w:i w:val="0"/>
                <w:sz w:val="17"/>
              </w:rPr>
              <w:t>第2部第4章　情報アクセシビリティ・意思疎通支援</w:t>
            </w:r>
          </w:p>
        </w:tc>
        <w:tc>
          <w:tcPr>
            <w:tcW w:type="dxa" w:w="2835"/>
            <w:vAlign w:val="center"/>
          </w:tcPr>
          <w:p>
            <w:pPr>
              <w:keepNext/>
              <w:spacing w:before="20" w:after="20"/>
            </w:pPr>
            <w:r>
              <w:rPr>
                <w:rFonts w:ascii="游ゴシック" w:hAnsi="游ゴシック" w:eastAsia="游ゴシック"/>
                <w:b w:val="0"/>
                <w:i w:val="0"/>
                <w:sz w:val="17"/>
              </w:rPr>
              <w:t>手話に関する施策の推進に関する法律の</w:t>
            </w:r>
            <w:r>
              <w:rPr>
                <w:rFonts w:ascii="游ゴシック" w:hAnsi="游ゴシック" w:eastAsia="游ゴシック"/>
                <w:b/>
                <w:i w:val="0"/>
                <w:sz w:val="17"/>
              </w:rPr>
              <w:t>法律番号（令和7年法律第78号）</w:t>
            </w:r>
            <w:r>
              <w:rPr>
                <w:rFonts w:ascii="游ゴシック" w:hAnsi="游ゴシック" w:eastAsia="游ゴシック"/>
                <w:b w:val="0"/>
                <w:i w:val="0"/>
                <w:sz w:val="17"/>
              </w:rPr>
              <w:t>と施行日（公布の日＝令和7年6月25日）</w:t>
            </w:r>
          </w:p>
        </w:tc>
        <w:tc>
          <w:tcPr>
            <w:tcW w:type="dxa" w:w="624"/>
            <w:vAlign w:val="center"/>
          </w:tcPr>
          <w:p>
            <w:pPr>
              <w:keepNext/>
              <w:spacing w:before="20" w:after="20"/>
            </w:pPr>
            <w:r>
              <w:rPr>
                <w:rFonts w:ascii="游ゴシック" w:hAnsi="游ゴシック" w:eastAsia="游ゴシック"/>
                <w:b/>
                <w:i w:val="0"/>
                <w:sz w:val="17"/>
              </w:rPr>
              <w:t>補記</w:t>
            </w:r>
          </w:p>
        </w:tc>
        <w:tc>
          <w:tcPr>
            <w:tcW w:type="dxa" w:w="3118"/>
            <w:vAlign w:val="center"/>
          </w:tcPr>
          <w:p>
            <w:pPr>
              <w:keepNext/>
              <w:spacing w:before="20" w:after="20"/>
            </w:pPr>
            <w:r>
              <w:rPr>
                <w:rFonts w:ascii="游ゴシック" w:hAnsi="游ゴシック" w:eastAsia="游ゴシック"/>
                <w:b w:val="0"/>
                <w:i w:val="0"/>
                <w:sz w:val="17"/>
              </w:rPr>
              <w:t>他素案は法律名と町条例を記載済み。番号のみ補う（当方：第2部第4章）</w:t>
            </w:r>
          </w:p>
        </w:tc>
        <w:tc>
          <w:tcPr>
            <w:tcW w:type="dxa" w:w="567"/>
            <w:vAlign w:val="center"/>
          </w:tcPr>
          <w:p>
            <w:pPr>
              <w:keepNext/>
              <w:spacing w:before="20" w:after="20"/>
            </w:pPr>
            <w:r>
              <w:rPr>
                <w:rFonts w:ascii="游ゴシック" w:hAnsi="游ゴシック" w:eastAsia="游ゴシック"/>
                <w:b w:val="0"/>
                <w:i w:val="0"/>
                <w:sz w:val="17"/>
              </w:rPr>
              <w:t>―</w:t>
            </w:r>
          </w:p>
        </w:tc>
        <w:tc>
          <w:tcPr>
            <w:tcW w:type="dxa" w:w="567"/>
            <w:vAlign w:val="center"/>
          </w:tcPr>
          <w:p>
            <w:pPr>
              <w:keepNext/>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9</w:t>
            </w:r>
          </w:p>
        </w:tc>
        <w:tc>
          <w:tcPr>
            <w:tcW w:type="dxa" w:w="1587"/>
            <w:vAlign w:val="center"/>
          </w:tcPr>
          <w:p>
            <w:pPr>
              <w:spacing w:before="20" w:after="20"/>
            </w:pPr>
            <w:r>
              <w:rPr>
                <w:rFonts w:ascii="游ゴシック" w:hAnsi="游ゴシック" w:eastAsia="游ゴシック"/>
                <w:b w:val="0"/>
                <w:i w:val="0"/>
                <w:sz w:val="17"/>
              </w:rPr>
              <w:t>第2部第7章3／第3部第4章4（1）／第3部第7章3　医療的ケア</w:t>
            </w:r>
          </w:p>
        </w:tc>
        <w:tc>
          <w:tcPr>
            <w:tcW w:type="dxa" w:w="2835"/>
            <w:vAlign w:val="center"/>
          </w:tcPr>
          <w:p>
            <w:pPr>
              <w:spacing w:before="20" w:after="20"/>
            </w:pPr>
            <w:r>
              <w:rPr>
                <w:rFonts w:ascii="游ゴシック" w:hAnsi="游ゴシック" w:eastAsia="游ゴシック"/>
                <w:b w:val="0"/>
                <w:i w:val="0"/>
                <w:sz w:val="17"/>
              </w:rPr>
              <w:t>「</w:t>
            </w:r>
            <w:r>
              <w:rPr>
                <w:rFonts w:ascii="游ゴシック" w:hAnsi="游ゴシック" w:eastAsia="游ゴシック"/>
                <w:b/>
                <w:i w:val="0"/>
                <w:sz w:val="17"/>
              </w:rPr>
              <w:t>医療的ケア児等</w:t>
            </w:r>
            <w:r>
              <w:rPr>
                <w:rFonts w:ascii="游ゴシック" w:hAnsi="游ゴシック" w:eastAsia="游ゴシック"/>
                <w:b w:val="0"/>
                <w:i w:val="0"/>
                <w:sz w:val="17"/>
              </w:rPr>
              <w:t>」の法律上の定義（同法第2条第3項。18歳以上の医療的ケア児であった者等を含む）と、</w:t>
            </w:r>
            <w:r>
              <w:rPr>
                <w:rFonts w:ascii="游ゴシック" w:hAnsi="游ゴシック" w:eastAsia="游ゴシック"/>
                <w:b/>
                <w:i w:val="0"/>
                <w:sz w:val="17"/>
              </w:rPr>
              <w:t>就労の支援（第11条の3）・住居の確保（第11条の4）</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他素案は題名の改正を正しく書いている。なお法律の語は「医療的ケア児等」、基本指針の改正案は「医療的ケア者」も定義して用いる。成人期への接続の根拠条項だけを補う（当方：第2部第6章3）</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低</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2-3　第3部</w:t>
      </w:r>
      <w:bookmarkEnd w:id="105"/>
    </w:p>
    <w:p>
      <w:pPr>
        <w:keepNext/>
        <w:spacing w:before="200" w:after="40"/>
      </w:pPr>
      <w:r>
        <w:rPr>
          <w:rFonts w:ascii="游ゴシック" w:hAnsi="游ゴシック" w:eastAsia="游ゴシック"/>
          <w:b/>
          <w:i w:val="0"/>
          <w:color w:val="1F4D78"/>
          <w:sz w:val="22"/>
        </w:rPr>
        <w:t>【表4】対応表（第3部）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587"/>
        <w:gridCol w:w="2835"/>
        <w:gridCol w:w="624"/>
        <w:gridCol w:w="3118"/>
        <w:gridCol w:w="567"/>
        <w:gridCol w:w="567"/>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他素案の箇所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足す内容</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3118"/>
            <w:shd w:val="clear" w:fill="1F3864"/>
            <w:vAlign w:val="center"/>
          </w:tcPr>
          <w:p>
            <w:pPr>
              <w:spacing w:before="20" w:after="20"/>
              <w:jc w:val="center"/>
            </w:pPr>
            <w:r>
              <w:rPr>
                <w:rFonts w:ascii="游ゴシック" w:hAnsi="游ゴシック" w:eastAsia="游ゴシック"/>
                <w:b/>
                <w:i w:val="0"/>
                <w:color w:val="FFFFFF"/>
                <w:sz w:val="17"/>
              </w:rPr>
              <w:t>理由・根拠</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レビュー</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587"/>
            <w:vAlign w:val="center"/>
          </w:tcPr>
          <w:p>
            <w:pPr>
              <w:spacing w:before="20" w:after="20"/>
            </w:pPr>
            <w:r>
              <w:rPr>
                <w:rFonts w:ascii="游ゴシック" w:hAnsi="游ゴシック" w:eastAsia="游ゴシック"/>
                <w:b w:val="0"/>
                <w:i w:val="0"/>
                <w:sz w:val="17"/>
              </w:rPr>
              <w:t>第3部第1章3　第8期の国の基本指針の主な見直し事項</w:t>
            </w:r>
          </w:p>
        </w:tc>
        <w:tc>
          <w:tcPr>
            <w:tcW w:type="dxa" w:w="2835"/>
            <w:vAlign w:val="center"/>
          </w:tcPr>
          <w:p>
            <w:pPr>
              <w:spacing w:before="20" w:after="20"/>
            </w:pPr>
            <w:r>
              <w:rPr>
                <w:rFonts w:ascii="游ゴシック" w:hAnsi="游ゴシック" w:eastAsia="游ゴシック"/>
                <w:b/>
                <w:i w:val="0"/>
                <w:sz w:val="17"/>
              </w:rPr>
              <w:t>障害者総合支援法第88条第3項第3号〜第5号・児童福祉法第33条の20第3項第3号の新設</w:t>
            </w:r>
            <w:r>
              <w:rPr>
                <w:rFonts w:ascii="游ゴシック" w:hAnsi="游ゴシック" w:eastAsia="游ゴシック"/>
                <w:b w:val="0"/>
                <w:i w:val="0"/>
                <w:sz w:val="17"/>
              </w:rPr>
              <w:t>（生産性の向上・人材の確保・経営基盤の確立、都道府県と連携した取組。努力義務。令和9年4月1日施行）</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他素案は基本指針の「新規の柱」として記載している。</w:t>
            </w:r>
            <w:r>
              <w:rPr>
                <w:rFonts w:ascii="游ゴシック" w:hAnsi="游ゴシック" w:eastAsia="游ゴシック"/>
                <w:b/>
                <w:i w:val="0"/>
                <w:sz w:val="17"/>
              </w:rPr>
              <w:t>法律上の計画の記載事項（努力義務）にもなる</w:t>
            </w:r>
            <w:r>
              <w:rPr>
                <w:rFonts w:ascii="游ゴシック" w:hAnsi="游ゴシック" w:eastAsia="游ゴシック"/>
                <w:b w:val="0"/>
                <w:i w:val="0"/>
                <w:sz w:val="17"/>
              </w:rPr>
              <w:t>ことは書かれていない（当方：第1部第1章4-2／法定記載事項チェック）</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11</w:t>
            </w:r>
          </w:p>
        </w:tc>
        <w:tc>
          <w:tcPr>
            <w:tcW w:type="dxa" w:w="1587"/>
            <w:vAlign w:val="center"/>
          </w:tcPr>
          <w:p>
            <w:pPr>
              <w:spacing w:before="20" w:after="20"/>
            </w:pPr>
            <w:r>
              <w:rPr>
                <w:rFonts w:ascii="游ゴシック" w:hAnsi="游ゴシック" w:eastAsia="游ゴシック"/>
                <w:b w:val="0"/>
                <w:i w:val="0"/>
                <w:sz w:val="17"/>
              </w:rPr>
              <w:t>第3部第3章4　協議会の活性化</w:t>
            </w:r>
          </w:p>
        </w:tc>
        <w:tc>
          <w:tcPr>
            <w:tcW w:type="dxa" w:w="2835"/>
            <w:vAlign w:val="center"/>
          </w:tcPr>
          <w:p>
            <w:pPr>
              <w:spacing w:before="20" w:after="20"/>
            </w:pPr>
            <w:r>
              <w:rPr>
                <w:rFonts w:ascii="游ゴシック" w:hAnsi="游ゴシック" w:eastAsia="游ゴシック"/>
                <w:b w:val="0"/>
                <w:i w:val="0"/>
                <w:sz w:val="17"/>
              </w:rPr>
              <w:t>改正後、協議会は「</w:t>
            </w:r>
            <w:r>
              <w:rPr>
                <w:rFonts w:ascii="游ゴシック" w:hAnsi="游ゴシック" w:eastAsia="游ゴシック"/>
                <w:b/>
                <w:i w:val="0"/>
                <w:sz w:val="17"/>
              </w:rPr>
              <w:t>支援協議会</w:t>
            </w:r>
            <w:r>
              <w:rPr>
                <w:rFonts w:ascii="游ゴシック" w:hAnsi="游ゴシック" w:eastAsia="游ゴシック"/>
                <w:b w:val="0"/>
                <w:i w:val="0"/>
                <w:sz w:val="17"/>
              </w:rPr>
              <w:t>」に名称が改まる（第89条の3。全6項→全7項）。同条第5項により、介護保険法第115条の48の支援会議、社会福祉法第106条の3の2の支援会議、居住支援協議会、生活困窮者自立支援法第9条第1項の支援会議との</w:t>
            </w:r>
            <w:r>
              <w:rPr>
                <w:rFonts w:ascii="游ゴシック" w:hAnsi="游ゴシック" w:eastAsia="游ゴシック"/>
                <w:b/>
                <w:i w:val="0"/>
                <w:sz w:val="17"/>
              </w:rPr>
              <w:t>相互の連携が努力義務</w:t>
            </w:r>
            <w:r>
              <w:rPr>
                <w:rFonts w:ascii="游ゴシック" w:hAnsi="游ゴシック" w:eastAsia="游ゴシック"/>
                <w:b w:val="0"/>
                <w:i w:val="0"/>
                <w:sz w:val="17"/>
              </w:rPr>
              <w:t>になる</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他素案は令和6年改正（守秘義務等）までで、令和9年4月1日の改正がない。</w:t>
            </w:r>
            <w:r>
              <w:rPr>
                <w:rFonts w:ascii="游ゴシック" w:hAnsi="游ゴシック" w:eastAsia="游ゴシック"/>
                <w:b/>
                <w:i w:val="0"/>
                <w:sz w:val="17"/>
              </w:rPr>
              <w:t>本計画の初日に施行される法定の事項</w:t>
            </w:r>
            <w:r>
              <w:rPr>
                <w:rFonts w:ascii="游ゴシック" w:hAnsi="游ゴシック" w:eastAsia="游ゴシック"/>
                <w:b w:val="0"/>
                <w:i w:val="0"/>
                <w:sz w:val="17"/>
              </w:rPr>
              <w:t>。相互連携の相手は2つではなく5つ（法令APIで確認）（当方：第4部2）</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12</w:t>
            </w:r>
          </w:p>
        </w:tc>
        <w:tc>
          <w:tcPr>
            <w:tcW w:type="dxa" w:w="1587"/>
            <w:vAlign w:val="center"/>
          </w:tcPr>
          <w:p>
            <w:pPr>
              <w:spacing w:before="20" w:after="20"/>
            </w:pPr>
            <w:r>
              <w:rPr>
                <w:rFonts w:ascii="游ゴシック" w:hAnsi="游ゴシック" w:eastAsia="游ゴシック"/>
                <w:b w:val="0"/>
                <w:i w:val="0"/>
                <w:sz w:val="17"/>
              </w:rPr>
              <w:t>第3部第3章1　相談支援体制の構築（または第9章2）</w:t>
            </w:r>
          </w:p>
        </w:tc>
        <w:tc>
          <w:tcPr>
            <w:tcW w:type="dxa" w:w="2835"/>
            <w:vAlign w:val="center"/>
          </w:tcPr>
          <w:p>
            <w:pPr>
              <w:spacing w:before="20" w:after="20"/>
            </w:pPr>
            <w:r>
              <w:rPr>
                <w:rFonts w:ascii="游ゴシック" w:hAnsi="游ゴシック" w:eastAsia="游ゴシック"/>
                <w:b/>
                <w:i w:val="0"/>
                <w:sz w:val="17"/>
              </w:rPr>
              <w:t>小規模市町村地域支援連携協働体制整備事業</w:t>
            </w:r>
            <w:r>
              <w:rPr>
                <w:rFonts w:ascii="游ゴシック" w:hAnsi="游ゴシック" w:eastAsia="游ゴシック"/>
                <w:b w:val="0"/>
                <w:i w:val="0"/>
                <w:sz w:val="17"/>
              </w:rPr>
              <w:t>（社会福祉法第106条の6の差し替え）。一体に行う事業に障害者総合支援法</w:t>
            </w:r>
            <w:r>
              <w:rPr>
                <w:rFonts w:ascii="游ゴシック" w:hAnsi="游ゴシック" w:eastAsia="游ゴシック"/>
                <w:b/>
                <w:i w:val="0"/>
                <w:sz w:val="17"/>
              </w:rPr>
              <w:t>第77条第1項第3号</w:t>
            </w:r>
            <w:r>
              <w:rPr>
                <w:rFonts w:ascii="游ゴシック" w:hAnsi="游ゴシック" w:eastAsia="游ゴシック"/>
                <w:b w:val="0"/>
                <w:i w:val="0"/>
                <w:sz w:val="17"/>
              </w:rPr>
              <w:t>（相談支援事業）・</w:t>
            </w:r>
            <w:r>
              <w:rPr>
                <w:rFonts w:ascii="游ゴシック" w:hAnsi="游ゴシック" w:eastAsia="游ゴシック"/>
                <w:b/>
                <w:i w:val="0"/>
                <w:sz w:val="17"/>
              </w:rPr>
              <w:t>第9号</w:t>
            </w:r>
            <w:r>
              <w:rPr>
                <w:rFonts w:ascii="游ゴシック" w:hAnsi="游ゴシック" w:eastAsia="游ゴシック"/>
                <w:b w:val="0"/>
                <w:i w:val="0"/>
                <w:sz w:val="17"/>
              </w:rPr>
              <w:t>（地域活動支援センター）が入る。実施は任意。</w:t>
            </w:r>
            <w:r>
              <w:rPr>
                <w:rFonts w:ascii="游ゴシック" w:hAnsi="游ゴシック" w:eastAsia="游ゴシック"/>
                <w:b/>
                <w:i w:val="0"/>
                <w:sz w:val="17"/>
              </w:rPr>
              <w:t>基準を定める厚生労働省令は令和8年10月19日現在、未公布</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他素案は第1部第1章1に「小規模市町村における包括的な支援体制の整備」の1行のみ。本町が該当するかは省令次第で、県に照会中（確認事項№76）（当方：第4部（参考））</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13</w:t>
            </w:r>
          </w:p>
        </w:tc>
        <w:tc>
          <w:tcPr>
            <w:tcW w:type="dxa" w:w="1587"/>
            <w:vAlign w:val="center"/>
          </w:tcPr>
          <w:p>
            <w:pPr>
              <w:spacing w:before="20" w:after="20"/>
            </w:pPr>
            <w:r>
              <w:rPr>
                <w:rFonts w:ascii="游ゴシック" w:hAnsi="游ゴシック" w:eastAsia="游ゴシック"/>
                <w:b w:val="0"/>
                <w:i w:val="0"/>
                <w:sz w:val="17"/>
              </w:rPr>
              <w:t>第3部第5章冒頭　表「第7期計画の成果目標の達成状況」</w:t>
            </w:r>
          </w:p>
        </w:tc>
        <w:tc>
          <w:tcPr>
            <w:tcW w:type="dxa" w:w="2835"/>
            <w:vAlign w:val="center"/>
          </w:tcPr>
          <w:p>
            <w:pPr>
              <w:spacing w:before="20" w:after="20"/>
            </w:pPr>
            <w:r>
              <w:rPr>
                <w:rFonts w:ascii="游ゴシック" w:hAnsi="游ゴシック" w:eastAsia="游ゴシック"/>
                <w:b/>
                <w:i w:val="0"/>
                <w:sz w:val="17"/>
              </w:rPr>
              <w:t>7行の「第7期の目標」の【要確認】を、前回計画の原本の値で埋める</w:t>
            </w:r>
            <w:r>
              <w:rPr>
                <w:rFonts w:ascii="游ゴシック" w:hAnsi="游ゴシック" w:eastAsia="游ゴシック"/>
                <w:b w:val="0"/>
                <w:i w:val="0"/>
                <w:sz w:val="17"/>
              </w:rPr>
              <w:t>（本書 3章の表）</w:t>
            </w:r>
          </w:p>
        </w:tc>
        <w:tc>
          <w:tcPr>
            <w:tcW w:type="dxa" w:w="624"/>
            <w:vAlign w:val="center"/>
          </w:tcPr>
          <w:p>
            <w:pPr>
              <w:spacing w:before="20" w:after="20"/>
            </w:pPr>
            <w:r>
              <w:rPr>
                <w:rFonts w:ascii="游ゴシック" w:hAnsi="游ゴシック" w:eastAsia="游ゴシック"/>
                <w:b/>
                <w:i w:val="0"/>
                <w:sz w:val="17"/>
              </w:rPr>
              <w:t>置換</w:t>
            </w:r>
          </w:p>
        </w:tc>
        <w:tc>
          <w:tcPr>
            <w:tcW w:type="dxa" w:w="3118"/>
            <w:vAlign w:val="center"/>
          </w:tcPr>
          <w:p>
            <w:pPr>
              <w:spacing w:before="20" w:after="20"/>
            </w:pPr>
            <w:r>
              <w:rPr>
                <w:rFonts w:ascii="游ゴシック" w:hAnsi="游ゴシック" w:eastAsia="游ゴシック"/>
                <w:b w:val="0"/>
                <w:i w:val="0"/>
                <w:sz w:val="17"/>
              </w:rPr>
              <w:t>他素案はワークシートの加筆対照表 No.19 で町に第7期計画書の提供を依頼している。</w:t>
            </w:r>
            <w:r>
              <w:rPr>
                <w:rFonts w:ascii="游ゴシック" w:hAnsi="游ゴシック" w:eastAsia="游ゴシック"/>
                <w:b/>
                <w:i w:val="0"/>
                <w:sz w:val="17"/>
              </w:rPr>
              <w:t>当方は原本を持っており、町への照会は要らない。</w:t>
            </w:r>
            <w:r>
              <w:rPr>
                <w:rFonts w:ascii="游ゴシック" w:hAnsi="游ゴシック" w:eastAsia="游ゴシック"/>
                <w:b w:val="0"/>
                <w:i w:val="0"/>
                <w:sz w:val="17"/>
              </w:rPr>
              <w:t xml:space="preserve"> 精神障がいにも対応した地域包括ケアシステムは、前回計画では町の成果目標を置いていない（当方：第1部第3章1／前回計画の原本）</w:t>
            </w:r>
          </w:p>
        </w:tc>
        <w:tc>
          <w:tcPr>
            <w:tcW w:type="dxa" w:w="567"/>
            <w:vAlign w:val="center"/>
          </w:tcPr>
          <w:p>
            <w:pPr>
              <w:spacing w:before="20" w:after="20"/>
            </w:pPr>
            <w:r>
              <w:rPr>
                <w:rFonts w:ascii="游ゴシック" w:hAnsi="游ゴシック" w:eastAsia="游ゴシック"/>
                <w:b w:val="0"/>
                <w:i w:val="0"/>
                <w:sz w:val="17"/>
              </w:rPr>
              <w:t>1-3</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14</w:t>
            </w:r>
          </w:p>
        </w:tc>
        <w:tc>
          <w:tcPr>
            <w:tcW w:type="dxa" w:w="1587"/>
            <w:vAlign w:val="center"/>
          </w:tcPr>
          <w:p>
            <w:pPr>
              <w:spacing w:before="20" w:after="20"/>
            </w:pPr>
            <w:r>
              <w:rPr>
                <w:rFonts w:ascii="游ゴシック" w:hAnsi="游ゴシック" w:eastAsia="游ゴシック"/>
                <w:b w:val="0"/>
                <w:i w:val="0"/>
                <w:sz w:val="17"/>
              </w:rPr>
              <w:t>第3部第5章1　福祉施設入所者の地域生活移行</w:t>
            </w:r>
          </w:p>
        </w:tc>
        <w:tc>
          <w:tcPr>
            <w:tcW w:type="dxa" w:w="2835"/>
            <w:vAlign w:val="center"/>
          </w:tcPr>
          <w:p>
            <w:pPr>
              <w:spacing w:before="20" w:after="20"/>
            </w:pPr>
            <w:r>
              <w:rPr>
                <w:rFonts w:ascii="游ゴシック" w:hAnsi="游ゴシック" w:eastAsia="游ゴシック"/>
                <w:b/>
                <w:i w:val="0"/>
                <w:sz w:val="17"/>
              </w:rPr>
              <w:t>前回の目標は成り立たない値であった</w:t>
            </w:r>
            <w:r>
              <w:rPr>
                <w:rFonts w:ascii="游ゴシック" w:hAnsi="游ゴシック" w:eastAsia="游ゴシック"/>
                <w:b w:val="0"/>
                <w:i w:val="0"/>
                <w:sz w:val="17"/>
              </w:rPr>
              <w:t>こと。地域移行31人が基準の入所者26人を上回る（119.2％）。削減22人とすると残りは4人だが、同じ計画の施設入所支援の見込量は15人</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達成状況を「未達成」と書くと誤る。</w:t>
            </w:r>
            <w:r>
              <w:rPr>
                <w:rFonts w:ascii="游ゴシック" w:hAnsi="游ゴシック" w:eastAsia="游ゴシック"/>
                <w:b/>
                <w:i w:val="0"/>
                <w:sz w:val="17"/>
              </w:rPr>
              <w:t>目標そのものが成り立たない</w:t>
            </w:r>
            <w:r>
              <w:rPr>
                <w:rFonts w:ascii="游ゴシック" w:hAnsi="游ゴシック" w:eastAsia="游ゴシック"/>
                <w:b w:val="0"/>
                <w:i w:val="0"/>
                <w:sz w:val="17"/>
              </w:rPr>
              <w:t>と書き分ける。第8期の目標（2人・10.5％）を置く理由の説明にもなる（当方：第3部第1章1-1）</w:t>
            </w:r>
          </w:p>
        </w:tc>
        <w:tc>
          <w:tcPr>
            <w:tcW w:type="dxa" w:w="567"/>
            <w:vAlign w:val="center"/>
          </w:tcPr>
          <w:p>
            <w:pPr>
              <w:spacing w:before="20" w:after="20"/>
            </w:pPr>
            <w:r>
              <w:rPr>
                <w:rFonts w:ascii="游ゴシック" w:hAnsi="游ゴシック" w:eastAsia="游ゴシック"/>
                <w:b w:val="0"/>
                <w:i w:val="0"/>
                <w:sz w:val="17"/>
              </w:rPr>
              <w:t>1-3</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15</w:t>
            </w:r>
          </w:p>
        </w:tc>
        <w:tc>
          <w:tcPr>
            <w:tcW w:type="dxa" w:w="1587"/>
            <w:vAlign w:val="center"/>
          </w:tcPr>
          <w:p>
            <w:pPr>
              <w:spacing w:before="20" w:after="20"/>
            </w:pPr>
            <w:r>
              <w:rPr>
                <w:rFonts w:ascii="游ゴシック" w:hAnsi="游ゴシック" w:eastAsia="游ゴシック"/>
                <w:b w:val="0"/>
                <w:i w:val="0"/>
                <w:sz w:val="17"/>
              </w:rPr>
              <w:t>第3部第5章3　福祉施設から一般就労への移行等</w:t>
            </w:r>
          </w:p>
        </w:tc>
        <w:tc>
          <w:tcPr>
            <w:tcW w:type="dxa" w:w="2835"/>
            <w:vAlign w:val="center"/>
          </w:tcPr>
          <w:p>
            <w:pPr>
              <w:spacing w:before="20" w:after="20"/>
            </w:pPr>
            <w:r>
              <w:rPr>
                <w:rFonts w:ascii="游ゴシック" w:hAnsi="游ゴシック" w:eastAsia="游ゴシック"/>
                <w:b w:val="0"/>
                <w:i w:val="0"/>
                <w:sz w:val="17"/>
              </w:rPr>
              <w:t>前回の一般就労移行者の目標1人に対し、内訳（就労移行支援1人・就労継続支援A型1人・B型1人）の和が3人で全体を上回る</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第8期で同じ形の目標を置かない。レビューMD 1-3 の「令和6年度の1人を就労移行支援によるとする根拠」とあわせて、全体と内訳の関係を確かめてから目標値を置く（当方：前回計画の原本（本書で新たに確認））</w:t>
            </w:r>
          </w:p>
        </w:tc>
        <w:tc>
          <w:tcPr>
            <w:tcW w:type="dxa" w:w="567"/>
            <w:vAlign w:val="center"/>
          </w:tcPr>
          <w:p>
            <w:pPr>
              <w:spacing w:before="20" w:after="20"/>
            </w:pPr>
            <w:r>
              <w:rPr>
                <w:rFonts w:ascii="游ゴシック" w:hAnsi="游ゴシック" w:eastAsia="游ゴシック"/>
                <w:b w:val="0"/>
                <w:i w:val="0"/>
                <w:sz w:val="17"/>
              </w:rPr>
              <w:t>1-3</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16</w:t>
            </w:r>
          </w:p>
        </w:tc>
        <w:tc>
          <w:tcPr>
            <w:tcW w:type="dxa" w:w="1587"/>
            <w:vAlign w:val="center"/>
          </w:tcPr>
          <w:p>
            <w:pPr>
              <w:spacing w:before="20" w:after="20"/>
            </w:pPr>
            <w:r>
              <w:rPr>
                <w:rFonts w:ascii="游ゴシック" w:hAnsi="游ゴシック" w:eastAsia="游ゴシック"/>
                <w:b w:val="0"/>
                <w:i w:val="0"/>
                <w:sz w:val="17"/>
              </w:rPr>
              <w:t>第3部第6章・第7章　各サービスの「第7期の実績」の表</w:t>
            </w:r>
          </w:p>
        </w:tc>
        <w:tc>
          <w:tcPr>
            <w:tcW w:type="dxa" w:w="2835"/>
            <w:vAlign w:val="center"/>
          </w:tcPr>
          <w:p>
            <w:pPr>
              <w:spacing w:before="20" w:after="20"/>
            </w:pPr>
            <w:r>
              <w:rPr>
                <w:rFonts w:ascii="游ゴシック" w:hAnsi="游ゴシック" w:eastAsia="游ゴシック"/>
                <w:b/>
                <w:i w:val="0"/>
                <w:sz w:val="17"/>
              </w:rPr>
              <w:t>第7期の計画値（前回計画）を実績の隣に置き、計画比を示す。</w:t>
            </w:r>
            <w:r>
              <w:rPr>
                <w:rFonts w:ascii="游ゴシック" w:hAnsi="游ゴシック" w:eastAsia="游ゴシック"/>
                <w:b w:val="0"/>
                <w:i w:val="0"/>
                <w:sz w:val="17"/>
              </w:rPr>
              <w:t>1人あたりの利用量（量÷人）の見込みと実績の比較</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他素案は実績のみで、計画との対照がない。第88条の2の調査・分析・評価は計画値との対照を前提とする。当方は前回計画の見込量を原本から毎回読み取っている（ono_shogai_zenkai.py）（当方：第3部第2章（2-1・図2））</w:t>
            </w:r>
          </w:p>
        </w:tc>
        <w:tc>
          <w:tcPr>
            <w:tcW w:type="dxa" w:w="567"/>
            <w:vAlign w:val="center"/>
          </w:tcPr>
          <w:p>
            <w:pPr>
              <w:spacing w:before="20" w:after="20"/>
            </w:pPr>
            <w:r>
              <w:rPr>
                <w:rFonts w:ascii="游ゴシック" w:hAnsi="游ゴシック" w:eastAsia="游ゴシック"/>
                <w:b w:val="0"/>
                <w:i w:val="0"/>
                <w:sz w:val="17"/>
              </w:rPr>
              <w:t>1-3</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17</w:t>
            </w:r>
          </w:p>
        </w:tc>
        <w:tc>
          <w:tcPr>
            <w:tcW w:type="dxa" w:w="1587"/>
            <w:vAlign w:val="center"/>
          </w:tcPr>
          <w:p>
            <w:pPr>
              <w:spacing w:before="20" w:after="20"/>
            </w:pPr>
            <w:r>
              <w:rPr>
                <w:rFonts w:ascii="游ゴシック" w:hAnsi="游ゴシック" w:eastAsia="游ゴシック"/>
                <w:b w:val="0"/>
                <w:i w:val="0"/>
                <w:sz w:val="17"/>
              </w:rPr>
              <w:t>第3部第7章1　障がい児通所支援（表の注）</w:t>
            </w:r>
          </w:p>
        </w:tc>
        <w:tc>
          <w:tcPr>
            <w:tcW w:type="dxa" w:w="2835"/>
            <w:vAlign w:val="center"/>
          </w:tcPr>
          <w:p>
            <w:pPr>
              <w:spacing w:before="20" w:after="20"/>
            </w:pPr>
            <w:r>
              <w:rPr>
                <w:rFonts w:ascii="游ゴシック" w:hAnsi="游ゴシック" w:eastAsia="游ゴシック"/>
                <w:b w:val="0"/>
                <w:i w:val="0"/>
                <w:sz w:val="17"/>
              </w:rPr>
              <w:t>前回計画の児童発達支援・放課後等デイサービスの第7期見込量は、</w:t>
            </w:r>
            <w:r>
              <w:rPr>
                <w:rFonts w:ascii="游ゴシック" w:hAnsi="游ゴシック" w:eastAsia="游ゴシック"/>
                <w:b/>
                <w:i w:val="0"/>
                <w:sz w:val="17"/>
              </w:rPr>
              <w:t>人と人日が入れ替わっている疑い</w:t>
            </w:r>
            <w:r>
              <w:rPr>
                <w:rFonts w:ascii="游ゴシック" w:hAnsi="游ゴシック" w:eastAsia="游ゴシック"/>
                <w:b w:val="0"/>
                <w:i w:val="0"/>
                <w:sz w:val="17"/>
              </w:rPr>
              <w:t>がある（値は原本のまま、注記して対比）</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16で計画比を出すと、この2つだけ桁違いの率になる。注記がないと実績の増減と読み違える（当方：第3部第2章（単位の入れ替わり））</w:t>
            </w:r>
          </w:p>
        </w:tc>
        <w:tc>
          <w:tcPr>
            <w:tcW w:type="dxa" w:w="567"/>
            <w:vAlign w:val="center"/>
          </w:tcPr>
          <w:p>
            <w:pPr>
              <w:spacing w:before="20" w:after="20"/>
            </w:pPr>
            <w:r>
              <w:rPr>
                <w:rFonts w:ascii="游ゴシック" w:hAnsi="游ゴシック" w:eastAsia="游ゴシック"/>
                <w:b w:val="0"/>
                <w:i w:val="0"/>
                <w:sz w:val="17"/>
              </w:rPr>
              <w:t>1-3</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keepNext/>
              <w:spacing w:before="20" w:after="20"/>
            </w:pPr>
            <w:r>
              <w:rPr>
                <w:rFonts w:ascii="游ゴシック" w:hAnsi="游ゴシック" w:eastAsia="游ゴシック"/>
                <w:b w:val="0"/>
                <w:i w:val="0"/>
                <w:sz w:val="17"/>
              </w:rPr>
              <w:t>18</w:t>
            </w:r>
          </w:p>
        </w:tc>
        <w:tc>
          <w:tcPr>
            <w:tcW w:type="dxa" w:w="1587"/>
            <w:vAlign w:val="center"/>
          </w:tcPr>
          <w:p>
            <w:pPr>
              <w:keepNext/>
              <w:spacing w:before="20" w:after="20"/>
            </w:pPr>
            <w:r>
              <w:rPr>
                <w:rFonts w:ascii="游ゴシック" w:hAnsi="游ゴシック" w:eastAsia="游ゴシック"/>
                <w:b w:val="0"/>
                <w:i w:val="0"/>
                <w:sz w:val="17"/>
              </w:rPr>
              <w:t>第3部第8章　地域生活支援事業</w:t>
            </w:r>
          </w:p>
        </w:tc>
        <w:tc>
          <w:tcPr>
            <w:tcW w:type="dxa" w:w="2835"/>
            <w:vAlign w:val="center"/>
          </w:tcPr>
          <w:p>
            <w:pPr>
              <w:keepNext/>
              <w:spacing w:before="20" w:after="20"/>
            </w:pPr>
            <w:r>
              <w:rPr>
                <w:rFonts w:ascii="游ゴシック" w:hAnsi="游ゴシック" w:eastAsia="游ゴシック"/>
                <w:b w:val="0"/>
                <w:i w:val="0"/>
                <w:sz w:val="17"/>
              </w:rPr>
              <w:t>前回計画で実績も見込量も0のまま並んでいた事業の扱い</w:t>
            </w:r>
          </w:p>
        </w:tc>
        <w:tc>
          <w:tcPr>
            <w:tcW w:type="dxa" w:w="624"/>
            <w:vAlign w:val="center"/>
          </w:tcPr>
          <w:p>
            <w:pPr>
              <w:keepNext/>
              <w:spacing w:before="20" w:after="20"/>
            </w:pPr>
            <w:r>
              <w:rPr>
                <w:rFonts w:ascii="游ゴシック" w:hAnsi="游ゴシック" w:eastAsia="游ゴシック"/>
                <w:b/>
                <w:i w:val="0"/>
                <w:sz w:val="17"/>
              </w:rPr>
              <w:t>補記</w:t>
            </w:r>
          </w:p>
        </w:tc>
        <w:tc>
          <w:tcPr>
            <w:tcW w:type="dxa" w:w="3118"/>
            <w:vAlign w:val="center"/>
          </w:tcPr>
          <w:p>
            <w:pPr>
              <w:keepNext/>
              <w:spacing w:before="20" w:after="20"/>
            </w:pPr>
            <w:r>
              <w:rPr>
                <w:rFonts w:ascii="游ゴシック" w:hAnsi="游ゴシック" w:eastAsia="游ゴシック"/>
                <w:b w:val="0"/>
                <w:i w:val="0"/>
                <w:sz w:val="17"/>
              </w:rPr>
              <w:t>他素案の第1部第2章2「実績がない場合の評価の区分」（①〜⑤）に当てはめて理由を書く材料として使う。事業ごとの表は他素案のものを採る（当方：第3部第2章2-2）</w:t>
            </w:r>
          </w:p>
        </w:tc>
        <w:tc>
          <w:tcPr>
            <w:tcW w:type="dxa" w:w="567"/>
            <w:vAlign w:val="center"/>
          </w:tcPr>
          <w:p>
            <w:pPr>
              <w:keepNext/>
              <w:spacing w:before="20" w:after="20"/>
            </w:pPr>
            <w:r>
              <w:rPr>
                <w:rFonts w:ascii="游ゴシック" w:hAnsi="游ゴシック" w:eastAsia="游ゴシック"/>
                <w:b w:val="0"/>
                <w:i w:val="0"/>
                <w:sz w:val="17"/>
              </w:rPr>
              <w:t>―</w:t>
            </w:r>
          </w:p>
        </w:tc>
        <w:tc>
          <w:tcPr>
            <w:tcW w:type="dxa" w:w="567"/>
            <w:vAlign w:val="center"/>
          </w:tcPr>
          <w:p>
            <w:pPr>
              <w:keepNext/>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19</w:t>
            </w:r>
          </w:p>
        </w:tc>
        <w:tc>
          <w:tcPr>
            <w:tcW w:type="dxa" w:w="1587"/>
            <w:vAlign w:val="center"/>
          </w:tcPr>
          <w:p>
            <w:pPr>
              <w:spacing w:before="20" w:after="20"/>
            </w:pPr>
            <w:r>
              <w:rPr>
                <w:rFonts w:ascii="游ゴシック" w:hAnsi="游ゴシック" w:eastAsia="游ゴシック"/>
                <w:b w:val="0"/>
                <w:i w:val="0"/>
                <w:sz w:val="17"/>
              </w:rPr>
              <w:t>第3部第9章4　介護保険事業計画との調整</w:t>
            </w:r>
          </w:p>
        </w:tc>
        <w:tc>
          <w:tcPr>
            <w:tcW w:type="dxa" w:w="2835"/>
            <w:vAlign w:val="center"/>
          </w:tcPr>
          <w:p>
            <w:pPr>
              <w:spacing w:before="20" w:after="20"/>
            </w:pPr>
            <w:r>
              <w:rPr>
                <w:rFonts w:ascii="游ゴシック" w:hAnsi="游ゴシック" w:eastAsia="游ゴシック"/>
                <w:b/>
                <w:i w:val="0"/>
                <w:sz w:val="17"/>
              </w:rPr>
              <w:t>高齢者計画との接点の節</w:t>
            </w:r>
            <w:r>
              <w:rPr>
                <w:rFonts w:ascii="游ゴシック" w:hAnsi="游ゴシック" w:eastAsia="游ゴシック"/>
                <w:b w:val="0"/>
                <w:i w:val="0"/>
                <w:sz w:val="17"/>
              </w:rPr>
              <w:t>（10場面・町に確かめること7件）。</w:t>
            </w:r>
            <w:r>
              <w:rPr>
                <w:rFonts w:ascii="游ゴシック" w:hAnsi="游ゴシック" w:eastAsia="游ゴシック"/>
                <w:b/>
                <w:i w:val="0"/>
                <w:sz w:val="17"/>
              </w:rPr>
              <w:t>高齢者計画素案（当方作成）と同じ文言</w:t>
            </w:r>
            <w:r>
              <w:rPr>
                <w:rFonts w:ascii="游ゴシック" w:hAnsi="游ゴシック" w:eastAsia="游ゴシック"/>
                <w:b w:val="0"/>
                <w:i w:val="0"/>
                <w:sz w:val="17"/>
              </w:rPr>
              <w:t>で入れる</w:t>
            </w:r>
          </w:p>
        </w:tc>
        <w:tc>
          <w:tcPr>
            <w:tcW w:type="dxa" w:w="624"/>
            <w:vAlign w:val="center"/>
          </w:tcPr>
          <w:p>
            <w:pPr>
              <w:spacing w:before="20" w:after="20"/>
            </w:pPr>
            <w:r>
              <w:rPr>
                <w:rFonts w:ascii="游ゴシック" w:hAnsi="游ゴシック" w:eastAsia="游ゴシック"/>
                <w:b/>
                <w:i w:val="0"/>
                <w:sz w:val="17"/>
              </w:rPr>
              <w:t>置換</w:t>
            </w:r>
          </w:p>
        </w:tc>
        <w:tc>
          <w:tcPr>
            <w:tcW w:type="dxa" w:w="3118"/>
            <w:vAlign w:val="center"/>
          </w:tcPr>
          <w:p>
            <w:pPr>
              <w:spacing w:before="20" w:after="20"/>
            </w:pPr>
            <w:r>
              <w:rPr>
                <w:rFonts w:ascii="游ゴシック" w:hAnsi="游ゴシック" w:eastAsia="游ゴシック"/>
                <w:b w:val="0"/>
                <w:i w:val="0"/>
                <w:sz w:val="17"/>
              </w:rPr>
              <w:t>他素案の表は5事項。当方は計画相談支援から居宅介護支援への引継ぎ、利用者負担の軽減、介護保険優先の一律適用をしないこと等を含む10場面で、両計画に同じ文言で入っていることを点検で担保している。</w:t>
            </w:r>
            <w:r>
              <w:rPr>
                <w:rFonts w:ascii="游ゴシック" w:hAnsi="游ゴシック" w:eastAsia="游ゴシック"/>
                <w:b/>
                <w:i w:val="0"/>
                <w:sz w:val="17"/>
              </w:rPr>
              <w:t>「同じ人を重ねて数えない」が「同じ方・同じ量を二重に数えない」に改まる</w:t>
            </w:r>
            <w:r>
              <w:rPr>
                <w:rFonts w:ascii="游ゴシック" w:hAnsi="游ゴシック" w:eastAsia="游ゴシック"/>
                <w:b w:val="0"/>
                <w:i w:val="0"/>
                <w:sz w:val="17"/>
              </w:rPr>
              <w:t>（当方：第1部第1章4-2（ono_setten.py））</w:t>
            </w:r>
          </w:p>
        </w:tc>
        <w:tc>
          <w:tcPr>
            <w:tcW w:type="dxa" w:w="567"/>
            <w:vAlign w:val="center"/>
          </w:tcPr>
          <w:p>
            <w:pPr>
              <w:spacing w:before="20" w:after="20"/>
            </w:pPr>
            <w:r>
              <w:rPr>
                <w:rFonts w:ascii="游ゴシック" w:hAnsi="游ゴシック" w:eastAsia="游ゴシック"/>
                <w:b w:val="0"/>
                <w:i w:val="0"/>
                <w:sz w:val="17"/>
              </w:rPr>
              <w:t>1-5</w:t>
            </w:r>
          </w:p>
        </w:tc>
        <w:tc>
          <w:tcPr>
            <w:tcW w:type="dxa" w:w="567"/>
            <w:vAlign w:val="center"/>
          </w:tcPr>
          <w:p>
            <w:pPr>
              <w:spacing w:before="20" w:after="20"/>
            </w:pPr>
            <w:r>
              <w:rPr>
                <w:rFonts w:ascii="游ゴシック" w:hAnsi="游ゴシック" w:eastAsia="游ゴシック"/>
                <w:b w:val="0"/>
                <w:i w:val="0"/>
                <w:sz w:val="17"/>
              </w:rPr>
              <w:t>高</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2-4　資料編</w:t>
      </w:r>
      <w:bookmarkEnd w:id="106"/>
    </w:p>
    <w:p>
      <w:pPr>
        <w:keepNext/>
        <w:spacing w:before="200" w:after="40"/>
      </w:pPr>
      <w:r>
        <w:rPr>
          <w:rFonts w:ascii="游ゴシック" w:hAnsi="游ゴシック" w:eastAsia="游ゴシック"/>
          <w:b/>
          <w:i w:val="0"/>
          <w:color w:val="1F4D78"/>
          <w:sz w:val="22"/>
        </w:rPr>
        <w:t>【表5】対応表（資料編）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587"/>
        <w:gridCol w:w="2835"/>
        <w:gridCol w:w="624"/>
        <w:gridCol w:w="3118"/>
        <w:gridCol w:w="567"/>
        <w:gridCol w:w="567"/>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他素案の箇所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足す内容</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3118"/>
            <w:shd w:val="clear" w:fill="1F3864"/>
            <w:vAlign w:val="center"/>
          </w:tcPr>
          <w:p>
            <w:pPr>
              <w:spacing w:before="20" w:after="20"/>
              <w:jc w:val="center"/>
            </w:pPr>
            <w:r>
              <w:rPr>
                <w:rFonts w:ascii="游ゴシック" w:hAnsi="游ゴシック" w:eastAsia="游ゴシック"/>
                <w:b/>
                <w:i w:val="0"/>
                <w:color w:val="FFFFFF"/>
                <w:sz w:val="17"/>
              </w:rPr>
              <w:t>理由・根拠</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レビュー</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454"/>
            <w:vAlign w:val="center"/>
          </w:tcPr>
          <w:p>
            <w:pPr>
              <w:keepNext/>
              <w:spacing w:before="20" w:after="20"/>
            </w:pPr>
            <w:r>
              <w:rPr>
                <w:rFonts w:ascii="游ゴシック" w:hAnsi="游ゴシック" w:eastAsia="游ゴシック"/>
                <w:b w:val="0"/>
                <w:i w:val="0"/>
                <w:sz w:val="17"/>
              </w:rPr>
              <w:t>20</w:t>
            </w:r>
          </w:p>
        </w:tc>
        <w:tc>
          <w:tcPr>
            <w:tcW w:type="dxa" w:w="1587"/>
            <w:vAlign w:val="center"/>
          </w:tcPr>
          <w:p>
            <w:pPr>
              <w:keepNext/>
              <w:spacing w:before="20" w:after="20"/>
            </w:pPr>
            <w:r>
              <w:rPr>
                <w:rFonts w:ascii="游ゴシック" w:hAnsi="游ゴシック" w:eastAsia="游ゴシック"/>
                <w:b w:val="0"/>
                <w:i w:val="0"/>
                <w:sz w:val="17"/>
              </w:rPr>
              <w:t>資料編4　近年の障がい者施策の動向（令和9年の行）</w:t>
            </w:r>
          </w:p>
        </w:tc>
        <w:tc>
          <w:tcPr>
            <w:tcW w:type="dxa" w:w="2835"/>
            <w:vAlign w:val="center"/>
          </w:tcPr>
          <w:p>
            <w:pPr>
              <w:keepNext/>
              <w:spacing w:before="20" w:after="20"/>
            </w:pPr>
            <w:r>
              <w:rPr>
                <w:rFonts w:ascii="游ゴシック" w:hAnsi="游ゴシック" w:eastAsia="游ゴシック"/>
                <w:b w:val="0"/>
                <w:i w:val="0"/>
                <w:sz w:val="17"/>
              </w:rPr>
              <w:t>令和9年の行の法律名を正式名に。「医療的ケア児等支援法」→「医療的ケア児等及び重症心身障害者並びにそれらの家族に対する支援に関する法律」</w:t>
            </w:r>
          </w:p>
        </w:tc>
        <w:tc>
          <w:tcPr>
            <w:tcW w:type="dxa" w:w="624"/>
            <w:vAlign w:val="center"/>
          </w:tcPr>
          <w:p>
            <w:pPr>
              <w:keepNext/>
              <w:spacing w:before="20" w:after="20"/>
            </w:pPr>
            <w:r>
              <w:rPr>
                <w:rFonts w:ascii="游ゴシック" w:hAnsi="游ゴシック" w:eastAsia="游ゴシック"/>
                <w:b/>
                <w:i w:val="0"/>
                <w:sz w:val="17"/>
              </w:rPr>
              <w:t>補記</w:t>
            </w:r>
          </w:p>
        </w:tc>
        <w:tc>
          <w:tcPr>
            <w:tcW w:type="dxa" w:w="3118"/>
            <w:vAlign w:val="center"/>
          </w:tcPr>
          <w:p>
            <w:pPr>
              <w:keepNext/>
              <w:spacing w:before="20" w:after="20"/>
            </w:pPr>
            <w:r>
              <w:rPr>
                <w:rFonts w:ascii="游ゴシック" w:hAnsi="游ゴシック" w:eastAsia="游ゴシック"/>
                <w:b w:val="0"/>
                <w:i w:val="0"/>
                <w:sz w:val="17"/>
              </w:rPr>
              <w:t>年表の略称が法律の題名と合わない（当方：第1部第1章1）</w:t>
            </w:r>
          </w:p>
        </w:tc>
        <w:tc>
          <w:tcPr>
            <w:tcW w:type="dxa" w:w="567"/>
            <w:vAlign w:val="center"/>
          </w:tcPr>
          <w:p>
            <w:pPr>
              <w:keepNext/>
              <w:spacing w:before="20" w:after="20"/>
            </w:pPr>
            <w:r>
              <w:rPr>
                <w:rFonts w:ascii="游ゴシック" w:hAnsi="游ゴシック" w:eastAsia="游ゴシック"/>
                <w:b w:val="0"/>
                <w:i w:val="0"/>
                <w:sz w:val="17"/>
              </w:rPr>
              <w:t>―</w:t>
            </w:r>
          </w:p>
        </w:tc>
        <w:tc>
          <w:tcPr>
            <w:tcW w:type="dxa" w:w="567"/>
            <w:vAlign w:val="center"/>
          </w:tcPr>
          <w:p>
            <w:pPr>
              <w:keepNext/>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21</w:t>
            </w:r>
          </w:p>
        </w:tc>
        <w:tc>
          <w:tcPr>
            <w:tcW w:type="dxa" w:w="1587"/>
            <w:vAlign w:val="center"/>
          </w:tcPr>
          <w:p>
            <w:pPr>
              <w:spacing w:before="20" w:after="20"/>
            </w:pPr>
            <w:r>
              <w:rPr>
                <w:rFonts w:ascii="游ゴシック" w:hAnsi="游ゴシック" w:eastAsia="游ゴシック"/>
                <w:b w:val="0"/>
                <w:i w:val="0"/>
                <w:sz w:val="17"/>
              </w:rPr>
              <w:t>資料編6　用語集</w:t>
            </w:r>
          </w:p>
        </w:tc>
        <w:tc>
          <w:tcPr>
            <w:tcW w:type="dxa" w:w="2835"/>
            <w:vAlign w:val="center"/>
          </w:tcPr>
          <w:p>
            <w:pPr>
              <w:spacing w:before="20" w:after="20"/>
            </w:pPr>
            <w:r>
              <w:rPr>
                <w:rFonts w:ascii="游ゴシック" w:hAnsi="游ゴシック" w:eastAsia="游ゴシック"/>
                <w:b w:val="0"/>
                <w:i w:val="0"/>
                <w:sz w:val="17"/>
              </w:rPr>
              <w:t>支援協議会、医療的ケア児等、重症心身障害者、小規模市町村地域支援連携協働体制整備事業、支援関係機関</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11・12・9で新たに用いる語（当方：資料編4）</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低</w:t>
            </w:r>
          </w:p>
        </w:tc>
      </w:tr>
    </w:tbl>
    <w:p>
      <w:pPr>
        <w:spacing w:after="40"/>
      </w:pPr>
    </w:p>
    <w:p>
      <w:pPr>
        <w:pStyle w:val="Heading2"/>
        <w:keepNext/>
        <w:spacing w:before="180" w:after="100"/>
      </w:pPr>
      <w:bookmarkStart w:id="107" w:name="_Toc_007"/>
      <w:r>
        <w:rPr>
          <w:rFonts w:ascii="游ゴシック" w:hAnsi="游ゴシック" w:eastAsia="游ゴシック"/>
          <w:b/>
          <w:i w:val="0"/>
          <w:color w:val="2E74B5"/>
          <w:sz w:val="25"/>
        </w:rPr>
        <w:t>2-5　論点漏れの点検から</w:t>
      </w:r>
      <w:bookmarkEnd w:id="107"/>
    </w:p>
    <w:p>
      <w:pPr>
        <w:spacing w:before="60" w:after="60"/>
      </w:pPr>
      <w:r>
        <w:rPr>
          <w:rFonts w:ascii="游ゴシック" w:hAnsi="游ゴシック" w:eastAsia="游ゴシック"/>
          <w:b w:val="0"/>
          <w:i w:val="0"/>
          <w:sz w:val="21"/>
        </w:rPr>
        <w:t>『論点漏れの点検』（同日）で、他素案にも当方素案にも無いと分かったものです。他団体の案件で積み上げた点検の観点を借り、国・県の公表資料で根拠を確かめています。</w:t>
      </w:r>
    </w:p>
    <w:p>
      <w:pPr>
        <w:keepNext/>
        <w:spacing w:before="200" w:after="40"/>
      </w:pPr>
      <w:r>
        <w:rPr>
          <w:rFonts w:ascii="游ゴシック" w:hAnsi="游ゴシック" w:eastAsia="游ゴシック"/>
          <w:b/>
          <w:i w:val="0"/>
          <w:color w:val="1F4D78"/>
          <w:sz w:val="22"/>
        </w:rPr>
        <w:t>【表6】対応表（論点漏れの点検から）</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587"/>
        <w:gridCol w:w="2835"/>
        <w:gridCol w:w="624"/>
        <w:gridCol w:w="3118"/>
        <w:gridCol w:w="567"/>
        <w:gridCol w:w="567"/>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他素案の箇所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足す内容</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3118"/>
            <w:shd w:val="clear" w:fill="1F3864"/>
            <w:vAlign w:val="center"/>
          </w:tcPr>
          <w:p>
            <w:pPr>
              <w:spacing w:before="20" w:after="20"/>
              <w:jc w:val="center"/>
            </w:pPr>
            <w:r>
              <w:rPr>
                <w:rFonts w:ascii="游ゴシック" w:hAnsi="游ゴシック" w:eastAsia="游ゴシック"/>
                <w:b/>
                <w:i w:val="0"/>
                <w:color w:val="FFFFFF"/>
                <w:sz w:val="17"/>
              </w:rPr>
              <w:t>理由・根拠</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レビュー</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454"/>
            <w:vAlign w:val="center"/>
          </w:tcPr>
          <w:p>
            <w:pPr>
              <w:spacing w:before="20" w:after="20"/>
            </w:pPr>
            <w:r>
              <w:rPr>
                <w:rFonts w:ascii="游ゴシック" w:hAnsi="游ゴシック" w:eastAsia="游ゴシック"/>
                <w:b w:val="0"/>
                <w:i w:val="0"/>
                <w:sz w:val="17"/>
              </w:rPr>
              <w:t>22</w:t>
            </w:r>
          </w:p>
        </w:tc>
        <w:tc>
          <w:tcPr>
            <w:tcW w:type="dxa" w:w="1587"/>
            <w:vAlign w:val="center"/>
          </w:tcPr>
          <w:p>
            <w:pPr>
              <w:spacing w:before="20" w:after="20"/>
            </w:pPr>
            <w:r>
              <w:rPr>
                <w:rFonts w:ascii="游ゴシック" w:hAnsi="游ゴシック" w:eastAsia="游ゴシック"/>
                <w:b w:val="0"/>
                <w:i w:val="0"/>
                <w:sz w:val="17"/>
              </w:rPr>
              <w:t>第3部第6章冒頭　見込量の定め方</w:t>
            </w:r>
          </w:p>
        </w:tc>
        <w:tc>
          <w:tcPr>
            <w:tcW w:type="dxa" w:w="2835"/>
            <w:vAlign w:val="center"/>
          </w:tcPr>
          <w:p>
            <w:pPr>
              <w:spacing w:before="20" w:after="20"/>
            </w:pPr>
            <w:r>
              <w:rPr>
                <w:rFonts w:ascii="游ゴシック" w:hAnsi="游ゴシック" w:eastAsia="游ゴシック"/>
                <w:b w:val="0"/>
                <w:i w:val="0"/>
                <w:sz w:val="17"/>
              </w:rPr>
              <w:t>生活介護・就労継続支援Ｂ型・施設入所支援の見込量は</w:t>
            </w:r>
            <w:r>
              <w:rPr>
                <w:rFonts w:ascii="游ゴシック" w:hAnsi="游ゴシック" w:eastAsia="游ゴシック"/>
                <w:b/>
                <w:i w:val="0"/>
                <w:sz w:val="17"/>
              </w:rPr>
              <w:t>継続入所者の数を除いて設定</w:t>
            </w:r>
            <w:r>
              <w:rPr>
                <w:rFonts w:ascii="游ゴシック" w:hAnsi="游ゴシック" w:eastAsia="游ゴシック"/>
                <w:b w:val="0"/>
                <w:i w:val="0"/>
                <w:sz w:val="17"/>
              </w:rPr>
              <w:t>したこと（本町の該当者数。0人なら「該当なし」）</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告示 第三の二の2（一）が「ものとする」とする定め方。継続入所者＝旧指定知的障害児施設等から引き続き入所している18歳以上の方（論点漏れの点検 R1）（当方：―（当方素案にも無い））</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23</w:t>
            </w:r>
          </w:p>
        </w:tc>
        <w:tc>
          <w:tcPr>
            <w:tcW w:type="dxa" w:w="1587"/>
            <w:vAlign w:val="center"/>
          </w:tcPr>
          <w:p>
            <w:pPr>
              <w:spacing w:before="20" w:after="20"/>
            </w:pPr>
            <w:r>
              <w:rPr>
                <w:rFonts w:ascii="游ゴシック" w:hAnsi="游ゴシック" w:eastAsia="游ゴシック"/>
                <w:b w:val="0"/>
                <w:i w:val="0"/>
                <w:sz w:val="17"/>
              </w:rPr>
              <w:t>第3部第7章1　障がい児通所支援</w:t>
            </w:r>
          </w:p>
        </w:tc>
        <w:tc>
          <w:tcPr>
            <w:tcW w:type="dxa" w:w="2835"/>
            <w:vAlign w:val="center"/>
          </w:tcPr>
          <w:p>
            <w:pPr>
              <w:spacing w:before="20" w:after="20"/>
            </w:pPr>
            <w:r>
              <w:rPr>
                <w:rFonts w:ascii="游ゴシック" w:hAnsi="游ゴシック" w:eastAsia="游ゴシック"/>
                <w:b w:val="0"/>
                <w:i w:val="0"/>
                <w:sz w:val="17"/>
              </w:rPr>
              <w:t>見込量は</w:t>
            </w:r>
            <w:r>
              <w:rPr>
                <w:rFonts w:ascii="游ゴシック" w:hAnsi="游ゴシック" w:eastAsia="游ゴシック"/>
                <w:b/>
                <w:i w:val="0"/>
                <w:sz w:val="17"/>
              </w:rPr>
              <w:t>保育所等における障がい児の受入れ体制の整備状況を踏まえて</w:t>
            </w:r>
            <w:r>
              <w:rPr>
                <w:rFonts w:ascii="游ゴシック" w:hAnsi="游ゴシック" w:eastAsia="游ゴシック"/>
                <w:b w:val="0"/>
                <w:i w:val="0"/>
                <w:sz w:val="17"/>
              </w:rPr>
              <w:t>設定したこと</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告示 第三の二の2（一）が「ものとする」とする定め方。町の保育部局に受入れの状況を確かめる（論点漏れの点検 R2）（当方：―（当方素案にも無い））</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24</w:t>
            </w:r>
          </w:p>
        </w:tc>
        <w:tc>
          <w:tcPr>
            <w:tcW w:type="dxa" w:w="1587"/>
            <w:vAlign w:val="center"/>
          </w:tcPr>
          <w:p>
            <w:pPr>
              <w:spacing w:before="20" w:after="20"/>
            </w:pPr>
            <w:r>
              <w:rPr>
                <w:rFonts w:ascii="游ゴシック" w:hAnsi="游ゴシック" w:eastAsia="游ゴシック"/>
                <w:b w:val="0"/>
                <w:i w:val="0"/>
                <w:sz w:val="17"/>
              </w:rPr>
              <w:t>第3部第6章冒頭　見込量の定め方（別表第五）</w:t>
            </w:r>
          </w:p>
        </w:tc>
        <w:tc>
          <w:tcPr>
            <w:tcW w:type="dxa" w:w="2835"/>
            <w:vAlign w:val="center"/>
          </w:tcPr>
          <w:p>
            <w:pPr>
              <w:spacing w:before="20" w:after="20"/>
            </w:pPr>
            <w:r>
              <w:rPr>
                <w:rFonts w:ascii="游ゴシック" w:hAnsi="游ゴシック" w:eastAsia="游ゴシック"/>
                <w:b/>
                <w:i w:val="0"/>
                <w:sz w:val="17"/>
              </w:rPr>
              <w:t>別表第五（地域差の是正）の適用判定</w:t>
            </w:r>
            <w:r>
              <w:rPr>
                <w:rFonts w:ascii="游ゴシック" w:hAnsi="游ゴシック" w:eastAsia="游ゴシック"/>
                <w:b w:val="0"/>
                <w:i w:val="0"/>
                <w:sz w:val="17"/>
              </w:rPr>
              <w:t>。本町が全部過疎か一部過疎か、6サービスの利用者割合が上位25％に入るか</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全部過疎なら対象外。対象なら6サービスの算定方法が定まる。該当・非該当のいずれでも判定を1行書く。過疎区分の確認が先（論点漏れの点検 R3）（当方：内部検討（判定未了））</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25</w:t>
            </w:r>
          </w:p>
        </w:tc>
        <w:tc>
          <w:tcPr>
            <w:tcW w:type="dxa" w:w="1587"/>
            <w:vAlign w:val="center"/>
          </w:tcPr>
          <w:p>
            <w:pPr>
              <w:spacing w:before="20" w:after="20"/>
            </w:pPr>
            <w:r>
              <w:rPr>
                <w:rFonts w:ascii="游ゴシック" w:hAnsi="游ゴシック" w:eastAsia="游ゴシック"/>
                <w:b w:val="0"/>
                <w:i w:val="0"/>
                <w:sz w:val="17"/>
              </w:rPr>
              <w:t>第3部第5章8　質を向上させるための取組に係る体制の構築</w:t>
            </w:r>
          </w:p>
        </w:tc>
        <w:tc>
          <w:tcPr>
            <w:tcW w:type="dxa" w:w="2835"/>
            <w:vAlign w:val="center"/>
          </w:tcPr>
          <w:p>
            <w:pPr>
              <w:spacing w:before="20" w:after="20"/>
            </w:pPr>
            <w:r>
              <w:rPr>
                <w:rFonts w:ascii="游ゴシック" w:hAnsi="游ゴシック" w:eastAsia="游ゴシック"/>
                <w:b w:val="0"/>
                <w:i w:val="0"/>
                <w:sz w:val="17"/>
              </w:rPr>
              <w:t>情報公表制度の</w:t>
            </w:r>
            <w:r>
              <w:rPr>
                <w:rFonts w:ascii="游ゴシック" w:hAnsi="游ゴシック" w:eastAsia="游ゴシック"/>
                <w:b/>
                <w:i w:val="0"/>
                <w:sz w:val="17"/>
              </w:rPr>
              <w:t>公表率・更新率100％を町の【目標値】から外し</w:t>
            </w:r>
            <w:r>
              <w:rPr>
                <w:rFonts w:ascii="游ゴシック" w:hAnsi="游ゴシック" w:eastAsia="游ゴシック"/>
                <w:b w:val="0"/>
                <w:i w:val="0"/>
                <w:sz w:val="17"/>
              </w:rPr>
              <w:t>、県の目標として参考に掲げる。町は事業所への周知・働きかけを活動として書く</w:t>
            </w:r>
          </w:p>
        </w:tc>
        <w:tc>
          <w:tcPr>
            <w:tcW w:type="dxa" w:w="624"/>
            <w:vAlign w:val="center"/>
          </w:tcPr>
          <w:p>
            <w:pPr>
              <w:spacing w:before="20" w:after="20"/>
            </w:pPr>
            <w:r>
              <w:rPr>
                <w:rFonts w:ascii="游ゴシック" w:hAnsi="游ゴシック" w:eastAsia="游ゴシック"/>
                <w:b/>
                <w:i w:val="0"/>
                <w:sz w:val="17"/>
              </w:rPr>
              <w:t>置換</w:t>
            </w:r>
          </w:p>
        </w:tc>
        <w:tc>
          <w:tcPr>
            <w:tcW w:type="dxa" w:w="3118"/>
            <w:vAlign w:val="center"/>
          </w:tcPr>
          <w:p>
            <w:pPr>
              <w:spacing w:before="20" w:after="20"/>
            </w:pPr>
            <w:r>
              <w:rPr>
                <w:rFonts w:ascii="游ゴシック" w:hAnsi="游ゴシック" w:eastAsia="游ゴシック"/>
                <w:b w:val="0"/>
                <w:i w:val="0"/>
                <w:sz w:val="17"/>
              </w:rPr>
              <w:t>告示 第二の八は「各都道府県、政令市又は中核市における管内事業所の」目標とする。町は指定権者でない（論点漏れの点検 R4）（当方：第3部第1章（成果目標））</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高</w:t>
            </w:r>
          </w:p>
        </w:tc>
      </w:tr>
      <w:tr>
        <w:tc>
          <w:tcPr>
            <w:tcW w:type="dxa" w:w="454"/>
            <w:vAlign w:val="center"/>
          </w:tcPr>
          <w:p>
            <w:pPr>
              <w:spacing w:before="20" w:after="20"/>
            </w:pPr>
            <w:r>
              <w:rPr>
                <w:rFonts w:ascii="游ゴシック" w:hAnsi="游ゴシック" w:eastAsia="游ゴシック"/>
                <w:b w:val="0"/>
                <w:i w:val="0"/>
                <w:sz w:val="17"/>
              </w:rPr>
              <w:t>26</w:t>
            </w:r>
          </w:p>
        </w:tc>
        <w:tc>
          <w:tcPr>
            <w:tcW w:type="dxa" w:w="1587"/>
            <w:vAlign w:val="center"/>
          </w:tcPr>
          <w:p>
            <w:pPr>
              <w:spacing w:before="20" w:after="20"/>
            </w:pPr>
            <w:r>
              <w:rPr>
                <w:rFonts w:ascii="游ゴシック" w:hAnsi="游ゴシック" w:eastAsia="游ゴシック"/>
                <w:b w:val="0"/>
                <w:i w:val="0"/>
                <w:sz w:val="17"/>
              </w:rPr>
              <w:t>第2部第7章1　意思決定支援及び相談支援体制の充実</w:t>
            </w:r>
          </w:p>
        </w:tc>
        <w:tc>
          <w:tcPr>
            <w:tcW w:type="dxa" w:w="2835"/>
            <w:vAlign w:val="center"/>
          </w:tcPr>
          <w:p>
            <w:pPr>
              <w:spacing w:before="20" w:after="20"/>
            </w:pPr>
            <w:r>
              <w:rPr>
                <w:rFonts w:ascii="游ゴシック" w:hAnsi="游ゴシック" w:eastAsia="游ゴシック"/>
                <w:b/>
                <w:i w:val="0"/>
                <w:sz w:val="17"/>
              </w:rPr>
              <w:t>意思決定支援ガイドライン（第2版）</w:t>
            </w:r>
            <w:r>
              <w:rPr>
                <w:rFonts w:ascii="游ゴシック" w:hAnsi="游ゴシック" w:eastAsia="游ゴシック"/>
                <w:b w:val="0"/>
                <w:i w:val="0"/>
                <w:sz w:val="17"/>
              </w:rPr>
              <w:t>の名指しと、相談支援専門員等が県の研修を受けること</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告示が名指しするガイドライン。第2版は意思形成・意思表明・意思実現の3段階（論点漏れの点検 R5）（当方：第2部第2章（意思決定支援））</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27</w:t>
            </w:r>
          </w:p>
        </w:tc>
        <w:tc>
          <w:tcPr>
            <w:tcW w:type="dxa" w:w="1587"/>
            <w:vAlign w:val="center"/>
          </w:tcPr>
          <w:p>
            <w:pPr>
              <w:spacing w:before="20" w:after="20"/>
            </w:pPr>
            <w:r>
              <w:rPr>
                <w:rFonts w:ascii="游ゴシック" w:hAnsi="游ゴシック" w:eastAsia="游ゴシック"/>
                <w:b w:val="0"/>
                <w:i w:val="0"/>
                <w:sz w:val="17"/>
              </w:rPr>
              <w:t>第3部第6章　各サービスの見込量の表（重度障がい者の内数）</w:t>
            </w:r>
          </w:p>
        </w:tc>
        <w:tc>
          <w:tcPr>
            <w:tcW w:type="dxa" w:w="2835"/>
            <w:vAlign w:val="center"/>
          </w:tcPr>
          <w:p>
            <w:pPr>
              <w:spacing w:before="20" w:after="20"/>
            </w:pPr>
            <w:r>
              <w:rPr>
                <w:rFonts w:ascii="游ゴシック" w:hAnsi="游ゴシック" w:eastAsia="游ゴシック"/>
                <w:b w:val="0"/>
                <w:i w:val="0"/>
                <w:sz w:val="17"/>
              </w:rPr>
              <w:t>重度障がい者の内数を</w:t>
            </w:r>
            <w:r>
              <w:rPr>
                <w:rFonts w:ascii="游ゴシック" w:hAnsi="游ゴシック" w:eastAsia="游ゴシック"/>
                <w:b/>
                <w:i w:val="0"/>
                <w:sz w:val="17"/>
              </w:rPr>
              <w:t>サービスごと</w:t>
            </w:r>
            <w:r>
              <w:rPr>
                <w:rFonts w:ascii="游ゴシック" w:hAnsi="游ゴシック" w:eastAsia="游ゴシック"/>
                <w:b w:val="0"/>
                <w:i w:val="0"/>
                <w:sz w:val="17"/>
              </w:rPr>
              <w:t>（生活介護・短期入所・共同生活援助）の行として置く</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他素案は区分ごとの人数の表のみ。告示 別表第一はサービスごとの内数を求める（論点漏れの点検 R6）（当方：―）</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28</w:t>
            </w:r>
          </w:p>
        </w:tc>
        <w:tc>
          <w:tcPr>
            <w:tcW w:type="dxa" w:w="1587"/>
            <w:vAlign w:val="center"/>
          </w:tcPr>
          <w:p>
            <w:pPr>
              <w:spacing w:before="20" w:after="20"/>
            </w:pPr>
            <w:r>
              <w:rPr>
                <w:rFonts w:ascii="游ゴシック" w:hAnsi="游ゴシック" w:eastAsia="游ゴシック"/>
                <w:b w:val="0"/>
                <w:i w:val="0"/>
                <w:sz w:val="17"/>
              </w:rPr>
              <w:t>第3部第4章4（1）／第7章3　医療的ケア</w:t>
            </w:r>
          </w:p>
        </w:tc>
        <w:tc>
          <w:tcPr>
            <w:tcW w:type="dxa" w:w="2835"/>
            <w:vAlign w:val="center"/>
          </w:tcPr>
          <w:p>
            <w:pPr>
              <w:spacing w:before="20" w:after="20"/>
            </w:pPr>
            <w:r>
              <w:rPr>
                <w:rFonts w:ascii="游ゴシック" w:hAnsi="游ゴシック" w:eastAsia="游ゴシック"/>
                <w:b w:val="0"/>
                <w:i w:val="0"/>
                <w:sz w:val="17"/>
              </w:rPr>
              <w:t>県が設ける</w:t>
            </w:r>
            <w:r>
              <w:rPr>
                <w:rFonts w:ascii="游ゴシック" w:hAnsi="游ゴシック" w:eastAsia="游ゴシック"/>
                <w:b/>
                <w:i w:val="0"/>
                <w:sz w:val="17"/>
              </w:rPr>
              <w:t>医療的ケア児等支援地域協議会</w:t>
            </w:r>
            <w:r>
              <w:rPr>
                <w:rFonts w:ascii="游ゴシック" w:hAnsi="游ゴシック" w:eastAsia="游ゴシック"/>
                <w:b w:val="0"/>
                <w:i w:val="0"/>
                <w:sz w:val="17"/>
              </w:rPr>
              <w:t>との関係、</w:t>
            </w:r>
            <w:r>
              <w:rPr>
                <w:rFonts w:ascii="游ゴシック" w:hAnsi="游ゴシック" w:eastAsia="游ゴシック"/>
                <w:b/>
                <w:i w:val="0"/>
                <w:sz w:val="17"/>
              </w:rPr>
              <w:t>学齢期から成人期への引継ぎの協議</w:t>
            </w:r>
            <w:r>
              <w:rPr>
                <w:rFonts w:ascii="游ゴシック" w:hAnsi="游ゴシック" w:eastAsia="游ゴシック"/>
                <w:b w:val="0"/>
                <w:i w:val="0"/>
                <w:sz w:val="17"/>
              </w:rPr>
              <w:t>、センターの「医療的ケア児等支援センター」への改称</w:t>
            </w:r>
          </w:p>
        </w:tc>
        <w:tc>
          <w:tcPr>
            <w:tcW w:type="dxa" w:w="624"/>
            <w:vAlign w:val="center"/>
          </w:tcPr>
          <w:p>
            <w:pPr>
              <w:spacing w:before="20" w:after="20"/>
            </w:pPr>
            <w:r>
              <w:rPr>
                <w:rFonts w:ascii="游ゴシック" w:hAnsi="游ゴシック" w:eastAsia="游ゴシック"/>
                <w:b/>
                <w:i w:val="0"/>
                <w:sz w:val="17"/>
              </w:rPr>
              <w:t>追加</w:t>
            </w:r>
          </w:p>
        </w:tc>
        <w:tc>
          <w:tcPr>
            <w:tcW w:type="dxa" w:w="3118"/>
            <w:vAlign w:val="center"/>
          </w:tcPr>
          <w:p>
            <w:pPr>
              <w:spacing w:before="20" w:after="20"/>
            </w:pPr>
            <w:r>
              <w:rPr>
                <w:rFonts w:ascii="游ゴシック" w:hAnsi="游ゴシック" w:eastAsia="游ゴシック"/>
                <w:b w:val="0"/>
                <w:i w:val="0"/>
                <w:sz w:val="17"/>
              </w:rPr>
              <w:t>基本指針の改正案（第21回、令和8年8月19日）。告示後に最終照合する（論点漏れの点検 R7）（当方：第2部第6章3）</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spacing w:before="20" w:after="20"/>
            </w:pPr>
            <w:r>
              <w:rPr>
                <w:rFonts w:ascii="游ゴシック" w:hAnsi="游ゴシック" w:eastAsia="游ゴシック"/>
                <w:b w:val="0"/>
                <w:i w:val="0"/>
                <w:sz w:val="17"/>
              </w:rPr>
              <w:t>29</w:t>
            </w:r>
          </w:p>
        </w:tc>
        <w:tc>
          <w:tcPr>
            <w:tcW w:type="dxa" w:w="1587"/>
            <w:vAlign w:val="center"/>
          </w:tcPr>
          <w:p>
            <w:pPr>
              <w:spacing w:before="20" w:after="20"/>
            </w:pPr>
            <w:r>
              <w:rPr>
                <w:rFonts w:ascii="游ゴシック" w:hAnsi="游ゴシック" w:eastAsia="游ゴシック"/>
                <w:b w:val="0"/>
                <w:i w:val="0"/>
                <w:sz w:val="17"/>
              </w:rPr>
              <w:t>第1部第2章2　年次の点検評価の方法</w:t>
            </w:r>
          </w:p>
        </w:tc>
        <w:tc>
          <w:tcPr>
            <w:tcW w:type="dxa" w:w="2835"/>
            <w:vAlign w:val="center"/>
          </w:tcPr>
          <w:p>
            <w:pPr>
              <w:spacing w:before="20" w:after="20"/>
            </w:pPr>
            <w:r>
              <w:rPr>
                <w:rFonts w:ascii="游ゴシック" w:hAnsi="游ゴシック" w:eastAsia="游ゴシック"/>
                <w:b/>
                <w:i w:val="0"/>
                <w:sz w:val="17"/>
              </w:rPr>
              <w:t>実態調査及びPDCAマニュアル</w:t>
            </w:r>
            <w:r>
              <w:rPr>
                <w:rFonts w:ascii="游ゴシック" w:hAnsi="游ゴシック" w:eastAsia="游ゴシック"/>
                <w:b w:val="0"/>
                <w:i w:val="0"/>
                <w:sz w:val="17"/>
              </w:rPr>
              <w:t>（令和8年8月改定）と福島県通知（8生福第2646号、令和8年8月24日）を点検の拠り所として挙げる</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他素案は独自に点検項目を立てており、国のマニュアルとの関係が書かれていない（論点漏れの点検 R8）（当方：第1部第1章7）</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中</w:t>
            </w:r>
          </w:p>
        </w:tc>
      </w:tr>
      <w:tr>
        <w:tc>
          <w:tcPr>
            <w:tcW w:type="dxa" w:w="454"/>
            <w:vAlign w:val="center"/>
          </w:tcPr>
          <w:p>
            <w:pPr>
              <w:keepNext/>
              <w:spacing w:before="20" w:after="20"/>
            </w:pPr>
            <w:r>
              <w:rPr>
                <w:rFonts w:ascii="游ゴシック" w:hAnsi="游ゴシック" w:eastAsia="游ゴシック"/>
                <w:b w:val="0"/>
                <w:i w:val="0"/>
                <w:sz w:val="17"/>
              </w:rPr>
              <w:t>30</w:t>
            </w:r>
          </w:p>
        </w:tc>
        <w:tc>
          <w:tcPr>
            <w:tcW w:type="dxa" w:w="1587"/>
            <w:vAlign w:val="center"/>
          </w:tcPr>
          <w:p>
            <w:pPr>
              <w:keepNext/>
              <w:spacing w:before="20" w:after="20"/>
            </w:pPr>
            <w:r>
              <w:rPr>
                <w:rFonts w:ascii="游ゴシック" w:hAnsi="游ゴシック" w:eastAsia="游ゴシック"/>
                <w:b w:val="0"/>
                <w:i w:val="0"/>
                <w:sz w:val="17"/>
              </w:rPr>
              <w:t>第3部第6章2　日中活動系サービス（就労移行支援）</w:t>
            </w:r>
          </w:p>
        </w:tc>
        <w:tc>
          <w:tcPr>
            <w:tcW w:type="dxa" w:w="2835"/>
            <w:vAlign w:val="center"/>
          </w:tcPr>
          <w:p>
            <w:pPr>
              <w:keepNext/>
              <w:spacing w:before="20" w:after="20"/>
            </w:pPr>
            <w:r>
              <w:rPr>
                <w:rFonts w:ascii="游ゴシック" w:hAnsi="游ゴシック" w:eastAsia="游ゴシック"/>
                <w:b w:val="0"/>
                <w:i w:val="0"/>
                <w:sz w:val="17"/>
              </w:rPr>
              <w:t>見込量の勘案事項に</w:t>
            </w:r>
            <w:r>
              <w:rPr>
                <w:rFonts w:ascii="游ゴシック" w:hAnsi="游ゴシック" w:eastAsia="游ゴシック"/>
                <w:b/>
                <w:i w:val="0"/>
                <w:sz w:val="17"/>
              </w:rPr>
              <w:t>復職を希望する休職者等</w:t>
            </w:r>
            <w:r>
              <w:rPr>
                <w:rFonts w:ascii="游ゴシック" w:hAnsi="游ゴシック" w:eastAsia="游ゴシック"/>
                <w:b w:val="0"/>
                <w:i w:val="0"/>
                <w:sz w:val="17"/>
              </w:rPr>
              <w:t>を加える</w:t>
            </w:r>
          </w:p>
        </w:tc>
        <w:tc>
          <w:tcPr>
            <w:tcW w:type="dxa" w:w="624"/>
            <w:vAlign w:val="center"/>
          </w:tcPr>
          <w:p>
            <w:pPr>
              <w:keepNext/>
              <w:spacing w:before="20" w:after="20"/>
            </w:pPr>
            <w:r>
              <w:rPr>
                <w:rFonts w:ascii="游ゴシック" w:hAnsi="游ゴシック" w:eastAsia="游ゴシック"/>
                <w:b/>
                <w:i w:val="0"/>
                <w:sz w:val="17"/>
              </w:rPr>
              <w:t>補記</w:t>
            </w:r>
          </w:p>
        </w:tc>
        <w:tc>
          <w:tcPr>
            <w:tcW w:type="dxa" w:w="3118"/>
            <w:vAlign w:val="center"/>
          </w:tcPr>
          <w:p>
            <w:pPr>
              <w:keepNext/>
              <w:spacing w:before="20" w:after="20"/>
            </w:pPr>
            <w:r>
              <w:rPr>
                <w:rFonts w:ascii="游ゴシック" w:hAnsi="游ゴシック" w:eastAsia="游ゴシック"/>
                <w:b w:val="0"/>
                <w:i w:val="0"/>
                <w:sz w:val="17"/>
              </w:rPr>
              <w:t>告示 別表第一（就労移行支援）の勘案事項（論点漏れの点検 R9）（当方：―）</w:t>
            </w:r>
          </w:p>
        </w:tc>
        <w:tc>
          <w:tcPr>
            <w:tcW w:type="dxa" w:w="567"/>
            <w:vAlign w:val="center"/>
          </w:tcPr>
          <w:p>
            <w:pPr>
              <w:keepNext/>
              <w:spacing w:before="20" w:after="20"/>
            </w:pPr>
            <w:r>
              <w:rPr>
                <w:rFonts w:ascii="游ゴシック" w:hAnsi="游ゴシック" w:eastAsia="游ゴシック"/>
                <w:b w:val="0"/>
                <w:i w:val="0"/>
                <w:sz w:val="17"/>
              </w:rPr>
              <w:t>―</w:t>
            </w:r>
          </w:p>
        </w:tc>
        <w:tc>
          <w:tcPr>
            <w:tcW w:type="dxa" w:w="567"/>
            <w:vAlign w:val="center"/>
          </w:tcPr>
          <w:p>
            <w:pPr>
              <w:keepNext/>
              <w:spacing w:before="20" w:after="20"/>
            </w:pPr>
            <w:r>
              <w:rPr>
                <w:rFonts w:ascii="游ゴシック" w:hAnsi="游ゴシック" w:eastAsia="游ゴシック"/>
                <w:b w:val="0"/>
                <w:i w:val="0"/>
                <w:sz w:val="17"/>
              </w:rPr>
              <w:t>低</w:t>
            </w:r>
          </w:p>
        </w:tc>
      </w:tr>
      <w:tr>
        <w:tc>
          <w:tcPr>
            <w:tcW w:type="dxa" w:w="454"/>
            <w:vAlign w:val="center"/>
          </w:tcPr>
          <w:p>
            <w:pPr>
              <w:spacing w:before="20" w:after="20"/>
            </w:pPr>
            <w:r>
              <w:rPr>
                <w:rFonts w:ascii="游ゴシック" w:hAnsi="游ゴシック" w:eastAsia="游ゴシック"/>
                <w:b w:val="0"/>
                <w:i w:val="0"/>
                <w:sz w:val="17"/>
              </w:rPr>
              <w:t>31</w:t>
            </w:r>
          </w:p>
        </w:tc>
        <w:tc>
          <w:tcPr>
            <w:tcW w:type="dxa" w:w="1587"/>
            <w:vAlign w:val="center"/>
          </w:tcPr>
          <w:p>
            <w:pPr>
              <w:spacing w:before="20" w:after="20"/>
            </w:pPr>
            <w:r>
              <w:rPr>
                <w:rFonts w:ascii="游ゴシック" w:hAnsi="游ゴシック" w:eastAsia="游ゴシック"/>
                <w:b w:val="0"/>
                <w:i w:val="0"/>
                <w:sz w:val="17"/>
              </w:rPr>
              <w:t>第1部第1章1／第2部第2章3　成年後見制度</w:t>
            </w:r>
          </w:p>
        </w:tc>
        <w:tc>
          <w:tcPr>
            <w:tcW w:type="dxa" w:w="2835"/>
            <w:vAlign w:val="center"/>
          </w:tcPr>
          <w:p>
            <w:pPr>
              <w:spacing w:before="20" w:after="20"/>
            </w:pPr>
            <w:r>
              <w:rPr>
                <w:rFonts w:ascii="游ゴシック" w:hAnsi="游ゴシック" w:eastAsia="游ゴシック"/>
                <w:b w:val="0"/>
                <w:i w:val="0"/>
                <w:sz w:val="17"/>
              </w:rPr>
              <w:t>民法等の一部を改正する法律の</w:t>
            </w:r>
            <w:r>
              <w:rPr>
                <w:rFonts w:ascii="游ゴシック" w:hAnsi="游ゴシック" w:eastAsia="游ゴシック"/>
                <w:b/>
                <w:i w:val="0"/>
                <w:sz w:val="17"/>
              </w:rPr>
              <w:t>法律番号（令和8年法律第45号）</w:t>
            </w:r>
          </w:p>
        </w:tc>
        <w:tc>
          <w:tcPr>
            <w:tcW w:type="dxa" w:w="624"/>
            <w:vAlign w:val="center"/>
          </w:tcPr>
          <w:p>
            <w:pPr>
              <w:spacing w:before="20" w:after="20"/>
            </w:pPr>
            <w:r>
              <w:rPr>
                <w:rFonts w:ascii="游ゴシック" w:hAnsi="游ゴシック" w:eastAsia="游ゴシック"/>
                <w:b/>
                <w:i w:val="0"/>
                <w:sz w:val="17"/>
              </w:rPr>
              <w:t>補記</w:t>
            </w:r>
          </w:p>
        </w:tc>
        <w:tc>
          <w:tcPr>
            <w:tcW w:type="dxa" w:w="3118"/>
            <w:vAlign w:val="center"/>
          </w:tcPr>
          <w:p>
            <w:pPr>
              <w:spacing w:before="20" w:after="20"/>
            </w:pPr>
            <w:r>
              <w:rPr>
                <w:rFonts w:ascii="游ゴシック" w:hAnsi="游ゴシック" w:eastAsia="游ゴシック"/>
                <w:b w:val="0"/>
                <w:i w:val="0"/>
                <w:sz w:val="17"/>
              </w:rPr>
              <w:t>他素案は法律名のみ（論点漏れの点検 R10）（当方：―）</w:t>
            </w:r>
          </w:p>
        </w:tc>
        <w:tc>
          <w:tcPr>
            <w:tcW w:type="dxa" w:w="567"/>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低</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3　前回計画の目標値（№13で他素案の表に入れるもの）</w:t>
      </w:r>
      <w:bookmarkEnd w:id="108"/>
    </w:p>
    <w:p>
      <w:pPr>
        <w:spacing w:before="60" w:after="60"/>
      </w:pPr>
      <w:r>
        <w:rPr>
          <w:rFonts w:ascii="游ゴシック" w:hAnsi="游ゴシック" w:eastAsia="游ゴシック"/>
          <w:b w:val="0"/>
          <w:i w:val="0"/>
          <w:sz w:val="21"/>
        </w:rPr>
        <w:t>他素案の第3部第5章冒頭「第7期計画の成果目標の達成状況」は、7行すべての「第7期の目標」が【要確認】です。</w:t>
      </w:r>
      <w:r>
        <w:rPr>
          <w:rFonts w:ascii="游ゴシック" w:hAnsi="游ゴシック" w:eastAsia="游ゴシック"/>
          <w:b/>
          <w:i w:val="0"/>
          <w:sz w:val="21"/>
        </w:rPr>
        <w:t>前回計画（令和6年3月）の原本により、次のとおり埋められます。</w:t>
      </w:r>
    </w:p>
    <w:p>
      <w:pPr>
        <w:keepNext/>
        <w:spacing w:before="200" w:after="40"/>
      </w:pPr>
      <w:r>
        <w:rPr>
          <w:rFonts w:ascii="游ゴシック" w:hAnsi="游ゴシック" w:eastAsia="游ゴシック"/>
          <w:b/>
          <w:i w:val="0"/>
          <w:color w:val="1F4D78"/>
          <w:sz w:val="22"/>
        </w:rPr>
        <w:t>【表7】前回計画の成果目標（第7期の目標値）</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2494"/>
        <w:gridCol w:w="4309"/>
        <w:gridCol w:w="1020"/>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成果目標（他素案の行）</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第7期の目標（令和8年度末）</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原本</w:t>
            </w:r>
          </w:p>
        </w:tc>
      </w:tr>
      <w:tr>
        <w:tc>
          <w:tcPr>
            <w:tcW w:type="dxa" w:w="1928"/>
            <w:vAlign w:val="center"/>
          </w:tcPr>
          <w:p>
            <w:pPr>
              <w:spacing w:before="20" w:after="20"/>
            </w:pPr>
            <w:r>
              <w:rPr>
                <w:rFonts w:ascii="游ゴシック" w:hAnsi="游ゴシック" w:eastAsia="游ゴシック"/>
                <w:b w:val="0"/>
                <w:i w:val="0"/>
                <w:sz w:val="17"/>
              </w:rPr>
              <w:t>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地域生活移行者数・削減見込者数（基準：令和4年度末の入所者26人）</w:t>
            </w:r>
          </w:p>
        </w:tc>
        <w:tc>
          <w:tcPr>
            <w:tcW w:type="dxa" w:w="4309"/>
            <w:vAlign w:val="center"/>
          </w:tcPr>
          <w:p>
            <w:pPr>
              <w:spacing w:before="20" w:after="20"/>
            </w:pPr>
            <w:r>
              <w:rPr>
                <w:rFonts w:ascii="游ゴシック" w:hAnsi="游ゴシック" w:eastAsia="游ゴシック"/>
                <w:b/>
                <w:i w:val="0"/>
                <w:sz w:val="17"/>
              </w:rPr>
              <w:t>移行31人（119.2％）・削減22人（84.6％）</w:t>
            </w:r>
            <w:r>
              <w:rPr>
                <w:rFonts w:ascii="游ゴシック" w:hAnsi="游ゴシック" w:eastAsia="游ゴシック"/>
                <w:b w:val="0"/>
                <w:i w:val="0"/>
                <w:sz w:val="17"/>
              </w:rPr>
              <w:t xml:space="preserve">　※移行が入所者を上回り、成り立たない値（14）</w:t>
            </w:r>
          </w:p>
        </w:tc>
        <w:tc>
          <w:tcPr>
            <w:tcW w:type="dxa" w:w="1020"/>
            <w:vAlign w:val="center"/>
          </w:tcPr>
          <w:p>
            <w:pPr>
              <w:spacing w:before="20" w:after="20"/>
            </w:pPr>
            <w:r>
              <w:rPr>
                <w:rFonts w:ascii="游ゴシック" w:hAnsi="游ゴシック" w:eastAsia="游ゴシック"/>
                <w:b w:val="0"/>
                <w:i w:val="0"/>
                <w:sz w:val="17"/>
              </w:rPr>
              <w:t>p.68</w:t>
            </w:r>
          </w:p>
        </w:tc>
      </w:tr>
      <w:tr>
        <w:tc>
          <w:tcPr>
            <w:tcW w:type="dxa" w:w="1928"/>
            <w:vAlign w:val="center"/>
          </w:tcPr>
          <w:p>
            <w:pPr>
              <w:spacing w:before="20" w:after="20"/>
            </w:pPr>
            <w:r>
              <w:rPr>
                <w:rFonts w:ascii="游ゴシック" w:hAnsi="游ゴシック" w:eastAsia="游ゴシック"/>
                <w:b w:val="0"/>
                <w:i w:val="0"/>
                <w:sz w:val="17"/>
              </w:rPr>
              <w:t>精神障がいにも対応した地域包括ケアシステム</w:t>
            </w:r>
          </w:p>
        </w:tc>
        <w:tc>
          <w:tcPr>
            <w:tcW w:type="dxa" w:w="2494"/>
            <w:vAlign w:val="center"/>
          </w:tcPr>
          <w:p>
            <w:pPr>
              <w:spacing w:before="20" w:after="20"/>
            </w:pPr>
            <w:r>
              <w:rPr>
                <w:rFonts w:ascii="游ゴシック" w:hAnsi="游ゴシック" w:eastAsia="游ゴシック"/>
                <w:b w:val="0"/>
                <w:i w:val="0"/>
                <w:sz w:val="17"/>
              </w:rPr>
              <w:t>保健・医療・福祉関係者による協議の場</w:t>
            </w:r>
          </w:p>
        </w:tc>
        <w:tc>
          <w:tcPr>
            <w:tcW w:type="dxa" w:w="4309"/>
            <w:vAlign w:val="center"/>
          </w:tcPr>
          <w:p>
            <w:pPr>
              <w:spacing w:before="20" w:after="20"/>
            </w:pPr>
            <w:r>
              <w:rPr>
                <w:rFonts w:ascii="游ゴシック" w:hAnsi="游ゴシック" w:eastAsia="游ゴシック"/>
                <w:b/>
                <w:i w:val="0"/>
                <w:sz w:val="17"/>
              </w:rPr>
              <w:t>前回計画では町の成果目標を置いていない</w:t>
            </w:r>
            <w:r>
              <w:rPr>
                <w:rFonts w:ascii="游ゴシック" w:hAnsi="游ゴシック" w:eastAsia="游ゴシック"/>
                <w:b w:val="0"/>
                <w:i w:val="0"/>
                <w:sz w:val="17"/>
              </w:rPr>
              <w:t>（第5章の柱は地域移行・地域生活支援・就労・相談・質・障がい児の6つ）</w:t>
            </w:r>
          </w:p>
        </w:tc>
        <w:tc>
          <w:tcPr>
            <w:tcW w:type="dxa" w:w="1020"/>
            <w:vAlign w:val="center"/>
          </w:tcPr>
          <w:p>
            <w:pPr>
              <w:spacing w:before="20" w:after="20"/>
            </w:pPr>
            <w:r>
              <w:rPr>
                <w:rFonts w:ascii="游ゴシック" w:hAnsi="游ゴシック" w:eastAsia="游ゴシック"/>
                <w:b w:val="0"/>
                <w:i w:val="0"/>
                <w:sz w:val="17"/>
              </w:rPr>
              <w:t>第5章</w:t>
            </w:r>
          </w:p>
        </w:tc>
      </w:tr>
      <w:tr>
        <w:tc>
          <w:tcPr>
            <w:tcW w:type="dxa" w:w="1928"/>
            <w:vAlign w:val="center"/>
          </w:tcPr>
          <w:p>
            <w:pPr>
              <w:spacing w:before="20" w:after="20"/>
            </w:pPr>
            <w:r>
              <w:rPr>
                <w:rFonts w:ascii="游ゴシック" w:hAnsi="游ゴシック" w:eastAsia="游ゴシック"/>
                <w:b w:val="0"/>
                <w:i w:val="0"/>
                <w:sz w:val="17"/>
              </w:rPr>
              <w:t>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地域生活支援拠点等・コーディネーター・検証回数、強度行動障がい</w:t>
            </w:r>
          </w:p>
        </w:tc>
        <w:tc>
          <w:tcPr>
            <w:tcW w:type="dxa" w:w="4309"/>
            <w:vAlign w:val="center"/>
          </w:tcPr>
          <w:p>
            <w:pPr>
              <w:spacing w:before="20" w:after="20"/>
            </w:pPr>
            <w:r>
              <w:rPr>
                <w:rFonts w:ascii="游ゴシック" w:hAnsi="游ゴシック" w:eastAsia="游ゴシック"/>
                <w:b w:val="0"/>
                <w:i w:val="0"/>
                <w:sz w:val="17"/>
              </w:rPr>
              <w:t>拠点等</w:t>
            </w:r>
            <w:r>
              <w:rPr>
                <w:rFonts w:ascii="游ゴシック" w:hAnsi="游ゴシック" w:eastAsia="游ゴシック"/>
                <w:b/>
                <w:i w:val="0"/>
                <w:sz w:val="17"/>
              </w:rPr>
              <w:t>1か所</w:t>
            </w:r>
            <w:r>
              <w:rPr>
                <w:rFonts w:ascii="游ゴシック" w:hAnsi="游ゴシック" w:eastAsia="游ゴシック"/>
                <w:b w:val="0"/>
                <w:i w:val="0"/>
                <w:sz w:val="17"/>
              </w:rPr>
              <w:t>・コーディネーター</w:t>
            </w:r>
            <w:r>
              <w:rPr>
                <w:rFonts w:ascii="游ゴシック" w:hAnsi="游ゴシック" w:eastAsia="游ゴシック"/>
                <w:b/>
                <w:i w:val="0"/>
                <w:sz w:val="17"/>
              </w:rPr>
              <w:t>1人</w:t>
            </w:r>
            <w:r>
              <w:rPr>
                <w:rFonts w:ascii="游ゴシック" w:hAnsi="游ゴシック" w:eastAsia="游ゴシック"/>
                <w:b w:val="0"/>
                <w:i w:val="0"/>
                <w:sz w:val="17"/>
              </w:rPr>
              <w:t>・検証</w:t>
            </w:r>
            <w:r>
              <w:rPr>
                <w:rFonts w:ascii="游ゴシック" w:hAnsi="游ゴシック" w:eastAsia="游ゴシック"/>
                <w:b/>
                <w:i w:val="0"/>
                <w:sz w:val="17"/>
              </w:rPr>
              <w:t>年3回</w:t>
            </w:r>
            <w:r>
              <w:rPr>
                <w:rFonts w:ascii="游ゴシック" w:hAnsi="游ゴシック" w:eastAsia="游ゴシック"/>
                <w:b w:val="0"/>
                <w:i w:val="0"/>
                <w:sz w:val="17"/>
              </w:rPr>
              <w:t>、強度行動障がいの支援ニーズの把握</w:t>
            </w:r>
            <w:r>
              <w:rPr>
                <w:rFonts w:ascii="游ゴシック" w:hAnsi="游ゴシック" w:eastAsia="游ゴシック"/>
                <w:b/>
                <w:i w:val="0"/>
                <w:sz w:val="17"/>
              </w:rPr>
              <w:t>有</w:t>
            </w:r>
            <w:r>
              <w:rPr>
                <w:rFonts w:ascii="游ゴシック" w:hAnsi="游ゴシック" w:eastAsia="游ゴシック"/>
                <w:b w:val="0"/>
                <w:i w:val="0"/>
                <w:sz w:val="17"/>
              </w:rPr>
              <w:t>・支援体制の整備</w:t>
            </w:r>
            <w:r>
              <w:rPr>
                <w:rFonts w:ascii="游ゴシック" w:hAnsi="游ゴシック" w:eastAsia="游ゴシック"/>
                <w:b/>
                <w:i w:val="0"/>
                <w:sz w:val="17"/>
              </w:rPr>
              <w:t>有</w:t>
            </w:r>
          </w:p>
        </w:tc>
        <w:tc>
          <w:tcPr>
            <w:tcW w:type="dxa" w:w="1020"/>
            <w:vAlign w:val="center"/>
          </w:tcPr>
          <w:p>
            <w:pPr>
              <w:spacing w:before="20" w:after="20"/>
            </w:pPr>
            <w:r>
              <w:rPr>
                <w:rFonts w:ascii="游ゴシック" w:hAnsi="游ゴシック" w:eastAsia="游ゴシック"/>
                <w:b w:val="0"/>
                <w:i w:val="0"/>
                <w:sz w:val="17"/>
              </w:rPr>
              <w:t>p.69・70</w:t>
            </w:r>
          </w:p>
        </w:tc>
      </w:tr>
      <w:tr>
        <w:tc>
          <w:tcPr>
            <w:tcW w:type="dxa" w:w="1928"/>
            <w:vAlign w:val="center"/>
          </w:tcPr>
          <w:p>
            <w:pPr>
              <w:spacing w:before="20" w:after="20"/>
            </w:pPr>
            <w:r>
              <w:rPr>
                <w:rFonts w:ascii="游ゴシック" w:hAnsi="游ゴシック" w:eastAsia="游ゴシック"/>
                <w:b w:val="0"/>
                <w:i w:val="0"/>
                <w:sz w:val="17"/>
              </w:rPr>
              <w:t>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一般就労移行者数、就労定着支援事業の利用者数ほか</w:t>
            </w:r>
          </w:p>
        </w:tc>
        <w:tc>
          <w:tcPr>
            <w:tcW w:type="dxa" w:w="4309"/>
            <w:vAlign w:val="center"/>
          </w:tcPr>
          <w:p>
            <w:pPr>
              <w:spacing w:before="20" w:after="20"/>
            </w:pPr>
            <w:r>
              <w:rPr>
                <w:rFonts w:ascii="游ゴシック" w:hAnsi="游ゴシック" w:eastAsia="游ゴシック"/>
                <w:b w:val="0"/>
                <w:i w:val="0"/>
                <w:sz w:val="17"/>
              </w:rPr>
              <w:t>一般就労移行</w:t>
            </w:r>
            <w:r>
              <w:rPr>
                <w:rFonts w:ascii="游ゴシック" w:hAnsi="游ゴシック" w:eastAsia="游ゴシック"/>
                <w:b/>
                <w:i w:val="0"/>
                <w:sz w:val="17"/>
              </w:rPr>
              <w:t>1人</w:t>
            </w:r>
            <w:r>
              <w:rPr>
                <w:rFonts w:ascii="游ゴシック" w:hAnsi="游ゴシック" w:eastAsia="游ゴシック"/>
                <w:b w:val="0"/>
                <w:i w:val="0"/>
                <w:sz w:val="17"/>
              </w:rPr>
              <w:t>（うち就労移行支援1人・A型1人・B型1人※内訳の和が全体を上回る（15））、就労移行支援事業所のうち移行5割以上</w:t>
            </w:r>
            <w:r>
              <w:rPr>
                <w:rFonts w:ascii="游ゴシック" w:hAnsi="游ゴシック" w:eastAsia="游ゴシック"/>
                <w:b/>
                <w:i w:val="0"/>
                <w:sz w:val="17"/>
              </w:rPr>
              <w:t>1か所</w:t>
            </w:r>
            <w:r>
              <w:rPr>
                <w:rFonts w:ascii="游ゴシック" w:hAnsi="游ゴシック" w:eastAsia="游ゴシック"/>
                <w:b w:val="0"/>
                <w:i w:val="0"/>
                <w:sz w:val="17"/>
              </w:rPr>
              <w:t>、就労定着支援の利用者</w:t>
            </w:r>
            <w:r>
              <w:rPr>
                <w:rFonts w:ascii="游ゴシック" w:hAnsi="游ゴシック" w:eastAsia="游ゴシック"/>
                <w:b/>
                <w:i w:val="0"/>
                <w:sz w:val="17"/>
              </w:rPr>
              <w:t>1人</w:t>
            </w:r>
            <w:r>
              <w:rPr>
                <w:rFonts w:ascii="游ゴシック" w:hAnsi="游ゴシック" w:eastAsia="游ゴシック"/>
                <w:b w:val="0"/>
                <w:i w:val="0"/>
                <w:sz w:val="17"/>
              </w:rPr>
              <w:t>、定着率7割以上の事業所</w:t>
            </w:r>
            <w:r>
              <w:rPr>
                <w:rFonts w:ascii="游ゴシック" w:hAnsi="游ゴシック" w:eastAsia="游ゴシック"/>
                <w:b/>
                <w:i w:val="0"/>
                <w:sz w:val="17"/>
              </w:rPr>
              <w:t>1か所</w:t>
            </w:r>
          </w:p>
        </w:tc>
        <w:tc>
          <w:tcPr>
            <w:tcW w:type="dxa" w:w="1020"/>
            <w:vAlign w:val="center"/>
          </w:tcPr>
          <w:p>
            <w:pPr>
              <w:spacing w:before="20" w:after="20"/>
            </w:pPr>
            <w:r>
              <w:rPr>
                <w:rFonts w:ascii="游ゴシック" w:hAnsi="游ゴシック" w:eastAsia="游ゴシック"/>
                <w:b w:val="0"/>
                <w:i w:val="0"/>
                <w:sz w:val="17"/>
              </w:rPr>
              <w:t>p.71・72</w:t>
            </w:r>
          </w:p>
        </w:tc>
      </w:tr>
      <w:tr>
        <w:tc>
          <w:tcPr>
            <w:tcW w:type="dxa" w:w="1928"/>
            <w:vAlign w:val="center"/>
          </w:tcPr>
          <w:p>
            <w:pPr>
              <w:spacing w:before="20" w:after="20"/>
            </w:pPr>
            <w:r>
              <w:rPr>
                <w:rFonts w:ascii="游ゴシック" w:hAnsi="游ゴシック" w:eastAsia="游ゴシック"/>
                <w:b w:val="0"/>
                <w:i w:val="0"/>
                <w:sz w:val="17"/>
              </w:rPr>
              <w:t>障がい児支援の提供体制の整備等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児童発達支援センター、保育所等訪問支援、重症心身障がい児の事業所、医療的ケア児の協議の場・コーディネーター</w:t>
            </w:r>
          </w:p>
        </w:tc>
        <w:tc>
          <w:tcPr>
            <w:tcW w:type="dxa" w:w="4309"/>
            <w:vAlign w:val="center"/>
          </w:tcPr>
          <w:p>
            <w:pPr>
              <w:spacing w:before="20" w:after="20"/>
            </w:pPr>
            <w:r>
              <w:rPr>
                <w:rFonts w:ascii="游ゴシック" w:hAnsi="游ゴシック" w:eastAsia="游ゴシック"/>
                <w:b w:val="0"/>
                <w:i w:val="0"/>
                <w:sz w:val="17"/>
              </w:rPr>
              <w:t>児童発達支援センター</w:t>
            </w:r>
            <w:r>
              <w:rPr>
                <w:rFonts w:ascii="游ゴシック" w:hAnsi="游ゴシック" w:eastAsia="游ゴシック"/>
                <w:b/>
                <w:i w:val="0"/>
                <w:sz w:val="17"/>
              </w:rPr>
              <w:t>1か所</w:t>
            </w:r>
            <w:r>
              <w:rPr>
                <w:rFonts w:ascii="游ゴシック" w:hAnsi="游ゴシック" w:eastAsia="游ゴシック"/>
                <w:b w:val="0"/>
                <w:i w:val="0"/>
                <w:sz w:val="17"/>
              </w:rPr>
              <w:t>、保育所等訪問支援</w:t>
            </w:r>
            <w:r>
              <w:rPr>
                <w:rFonts w:ascii="游ゴシック" w:hAnsi="游ゴシック" w:eastAsia="游ゴシック"/>
                <w:b/>
                <w:i w:val="0"/>
                <w:sz w:val="17"/>
              </w:rPr>
              <w:t>1か所</w:t>
            </w:r>
            <w:r>
              <w:rPr>
                <w:rFonts w:ascii="游ゴシック" w:hAnsi="游ゴシック" w:eastAsia="游ゴシック"/>
                <w:b w:val="0"/>
                <w:i w:val="0"/>
                <w:sz w:val="17"/>
              </w:rPr>
              <w:t>、重症心身障がい児の児童発達支援</w:t>
            </w:r>
            <w:r>
              <w:rPr>
                <w:rFonts w:ascii="游ゴシック" w:hAnsi="游ゴシック" w:eastAsia="游ゴシック"/>
                <w:b/>
                <w:i w:val="0"/>
                <w:sz w:val="17"/>
              </w:rPr>
              <w:t>1か所</w:t>
            </w:r>
            <w:r>
              <w:rPr>
                <w:rFonts w:ascii="游ゴシック" w:hAnsi="游ゴシック" w:eastAsia="游ゴシック"/>
                <w:b w:val="0"/>
                <w:i w:val="0"/>
                <w:sz w:val="17"/>
              </w:rPr>
              <w:t>・放課後等デイサービス</w:t>
            </w:r>
            <w:r>
              <w:rPr>
                <w:rFonts w:ascii="游ゴシック" w:hAnsi="游ゴシック" w:eastAsia="游ゴシック"/>
                <w:b/>
                <w:i w:val="0"/>
                <w:sz w:val="17"/>
              </w:rPr>
              <w:t>1か所</w:t>
            </w:r>
            <w:r>
              <w:rPr>
                <w:rFonts w:ascii="游ゴシック" w:hAnsi="游ゴシック" w:eastAsia="游ゴシック"/>
                <w:b w:val="0"/>
                <w:i w:val="0"/>
                <w:sz w:val="17"/>
              </w:rPr>
              <w:t>、協議の場</w:t>
            </w:r>
            <w:r>
              <w:rPr>
                <w:rFonts w:ascii="游ゴシック" w:hAnsi="游ゴシック" w:eastAsia="游ゴシック"/>
                <w:b/>
                <w:i w:val="0"/>
                <w:sz w:val="17"/>
              </w:rPr>
              <w:t>1か所</w:t>
            </w:r>
            <w:r>
              <w:rPr>
                <w:rFonts w:ascii="游ゴシック" w:hAnsi="游ゴシック" w:eastAsia="游ゴシック"/>
                <w:b w:val="0"/>
                <w:i w:val="0"/>
                <w:sz w:val="17"/>
              </w:rPr>
              <w:t>・コーディネーター</w:t>
            </w:r>
            <w:r>
              <w:rPr>
                <w:rFonts w:ascii="游ゴシック" w:hAnsi="游ゴシック" w:eastAsia="游ゴシック"/>
                <w:b/>
                <w:i w:val="0"/>
                <w:sz w:val="17"/>
              </w:rPr>
              <w:t>1人</w:t>
            </w:r>
          </w:p>
        </w:tc>
        <w:tc>
          <w:tcPr>
            <w:tcW w:type="dxa" w:w="1020"/>
            <w:vAlign w:val="center"/>
          </w:tcPr>
          <w:p>
            <w:pPr>
              <w:spacing w:before="20" w:after="20"/>
            </w:pPr>
            <w:r>
              <w:rPr>
                <w:rFonts w:ascii="游ゴシック" w:hAnsi="游ゴシック" w:eastAsia="游ゴシック"/>
                <w:b w:val="0"/>
                <w:i w:val="0"/>
                <w:sz w:val="17"/>
              </w:rPr>
              <w:t>p.77・78</w:t>
            </w:r>
          </w:p>
        </w:tc>
      </w:tr>
      <w:tr>
        <w:tc>
          <w:tcPr>
            <w:tcW w:type="dxa" w:w="1928"/>
            <w:vAlign w:val="center"/>
          </w:tcPr>
          <w:p>
            <w:pPr>
              <w:keepNext/>
              <w:spacing w:before="20" w:after="20"/>
            </w:pPr>
            <w:r>
              <w:rPr>
                <w:rFonts w:ascii="游ゴシック" w:hAnsi="游ゴシック" w:eastAsia="游ゴシック"/>
                <w:b w:val="0"/>
                <w:i w:val="0"/>
                <w:sz w:val="17"/>
              </w:rPr>
              <w:t>相談支援体制の充実・強化等</w:t>
            </w:r>
          </w:p>
        </w:tc>
        <w:tc>
          <w:tcPr>
            <w:tcW w:type="dxa" w:w="2494"/>
            <w:vAlign w:val="center"/>
          </w:tcPr>
          <w:p>
            <w:pPr>
              <w:keepNext/>
              <w:spacing w:before="20" w:after="20"/>
            </w:pPr>
            <w:r>
              <w:rPr>
                <w:rFonts w:ascii="游ゴシック" w:hAnsi="游ゴシック" w:eastAsia="游ゴシック"/>
                <w:b w:val="0"/>
                <w:i w:val="0"/>
                <w:sz w:val="17"/>
              </w:rPr>
              <w:t>基幹相談支援センター、指導・助言、人材育成、連携強化、事例検証、主任相談支援専門員、協議会の事例検討・専門部会</w:t>
            </w:r>
          </w:p>
        </w:tc>
        <w:tc>
          <w:tcPr>
            <w:tcW w:type="dxa" w:w="4309"/>
            <w:vAlign w:val="center"/>
          </w:tcPr>
          <w:p>
            <w:pPr>
              <w:keepNext/>
              <w:spacing w:before="20" w:after="20"/>
            </w:pPr>
            <w:r>
              <w:rPr>
                <w:rFonts w:ascii="游ゴシック" w:hAnsi="游ゴシック" w:eastAsia="游ゴシック"/>
                <w:b w:val="0"/>
                <w:i w:val="0"/>
                <w:sz w:val="17"/>
              </w:rPr>
              <w:t>基幹相談支援センター</w:t>
            </w:r>
            <w:r>
              <w:rPr>
                <w:rFonts w:ascii="游ゴシック" w:hAnsi="游ゴシック" w:eastAsia="游ゴシック"/>
                <w:b/>
                <w:i w:val="0"/>
                <w:sz w:val="17"/>
              </w:rPr>
              <w:t>有</w:t>
            </w:r>
            <w:r>
              <w:rPr>
                <w:rFonts w:ascii="游ゴシック" w:hAnsi="游ゴシック" w:eastAsia="游ゴシック"/>
                <w:b w:val="0"/>
                <w:i w:val="0"/>
                <w:sz w:val="17"/>
              </w:rPr>
              <w:t>、指導・助言</w:t>
            </w:r>
            <w:r>
              <w:rPr>
                <w:rFonts w:ascii="游ゴシック" w:hAnsi="游ゴシック" w:eastAsia="游ゴシック"/>
                <w:b/>
                <w:i w:val="0"/>
                <w:sz w:val="17"/>
              </w:rPr>
              <w:t>158件</w:t>
            </w:r>
            <w:r>
              <w:rPr>
                <w:rFonts w:ascii="游ゴシック" w:hAnsi="游ゴシック" w:eastAsia="游ゴシック"/>
                <w:b w:val="0"/>
                <w:i w:val="0"/>
                <w:sz w:val="17"/>
              </w:rPr>
              <w:t>、人材育成の支援</w:t>
            </w:r>
            <w:r>
              <w:rPr>
                <w:rFonts w:ascii="游ゴシック" w:hAnsi="游ゴシック" w:eastAsia="游ゴシック"/>
                <w:b/>
                <w:i w:val="0"/>
                <w:sz w:val="17"/>
              </w:rPr>
              <w:t>104件</w:t>
            </w:r>
            <w:r>
              <w:rPr>
                <w:rFonts w:ascii="游ゴシック" w:hAnsi="游ゴシック" w:eastAsia="游ゴシック"/>
                <w:b w:val="0"/>
                <w:i w:val="0"/>
                <w:sz w:val="17"/>
              </w:rPr>
              <w:t>、連携強化</w:t>
            </w:r>
            <w:r>
              <w:rPr>
                <w:rFonts w:ascii="游ゴシック" w:hAnsi="游ゴシック" w:eastAsia="游ゴシック"/>
                <w:b/>
                <w:i w:val="0"/>
                <w:sz w:val="17"/>
              </w:rPr>
              <w:t>102回</w:t>
            </w:r>
            <w:r>
              <w:rPr>
                <w:rFonts w:ascii="游ゴシック" w:hAnsi="游ゴシック" w:eastAsia="游ゴシック"/>
                <w:b w:val="0"/>
                <w:i w:val="0"/>
                <w:sz w:val="17"/>
              </w:rPr>
              <w:t>、事例検証</w:t>
            </w:r>
            <w:r>
              <w:rPr>
                <w:rFonts w:ascii="游ゴシック" w:hAnsi="游ゴシック" w:eastAsia="游ゴシック"/>
                <w:b/>
                <w:i w:val="0"/>
                <w:sz w:val="17"/>
              </w:rPr>
              <w:t>57回</w:t>
            </w:r>
            <w:r>
              <w:rPr>
                <w:rFonts w:ascii="游ゴシック" w:hAnsi="游ゴシック" w:eastAsia="游ゴシック"/>
                <w:b w:val="0"/>
                <w:i w:val="0"/>
                <w:sz w:val="17"/>
              </w:rPr>
              <w:t>、主任相談支援専門員</w:t>
            </w:r>
            <w:r>
              <w:rPr>
                <w:rFonts w:ascii="游ゴシック" w:hAnsi="游ゴシック" w:eastAsia="游ゴシック"/>
                <w:b/>
                <w:i w:val="0"/>
                <w:sz w:val="17"/>
              </w:rPr>
              <w:t>1人</w:t>
            </w:r>
            <w:r>
              <w:rPr>
                <w:rFonts w:ascii="游ゴシック" w:hAnsi="游ゴシック" w:eastAsia="游ゴシック"/>
                <w:b w:val="0"/>
                <w:i w:val="0"/>
                <w:sz w:val="17"/>
              </w:rPr>
              <w:t>、協議会の事例検討</w:t>
            </w:r>
            <w:r>
              <w:rPr>
                <w:rFonts w:ascii="游ゴシック" w:hAnsi="游ゴシック" w:eastAsia="游ゴシック"/>
                <w:b/>
                <w:i w:val="0"/>
                <w:sz w:val="17"/>
              </w:rPr>
              <w:t>1回</w:t>
            </w:r>
            <w:r>
              <w:rPr>
                <w:rFonts w:ascii="游ゴシック" w:hAnsi="游ゴシック" w:eastAsia="游ゴシック"/>
                <w:b w:val="0"/>
                <w:i w:val="0"/>
                <w:sz w:val="17"/>
              </w:rPr>
              <w:t>・参加</w:t>
            </w:r>
            <w:r>
              <w:rPr>
                <w:rFonts w:ascii="游ゴシック" w:hAnsi="游ゴシック" w:eastAsia="游ゴシック"/>
                <w:b/>
                <w:i w:val="0"/>
                <w:sz w:val="17"/>
              </w:rPr>
              <w:t>1</w:t>
            </w:r>
            <w:r>
              <w:rPr>
                <w:rFonts w:ascii="游ゴシック" w:hAnsi="游ゴシック" w:eastAsia="游ゴシック"/>
                <w:b w:val="0"/>
                <w:i w:val="0"/>
                <w:sz w:val="17"/>
              </w:rPr>
              <w:t>、専門部会</w:t>
            </w:r>
            <w:r>
              <w:rPr>
                <w:rFonts w:ascii="游ゴシック" w:hAnsi="游ゴシック" w:eastAsia="游ゴシック"/>
                <w:b/>
                <w:i w:val="0"/>
                <w:sz w:val="17"/>
              </w:rPr>
              <w:t>1部会</w:t>
            </w:r>
            <w:r>
              <w:rPr>
                <w:rFonts w:ascii="游ゴシック" w:hAnsi="游ゴシック" w:eastAsia="游ゴシック"/>
                <w:b w:val="0"/>
                <w:i w:val="0"/>
                <w:sz w:val="17"/>
              </w:rPr>
              <w:t>・</w:t>
            </w:r>
            <w:r>
              <w:rPr>
                <w:rFonts w:ascii="游ゴシック" w:hAnsi="游ゴシック" w:eastAsia="游ゴシック"/>
                <w:b/>
                <w:i w:val="0"/>
                <w:sz w:val="17"/>
              </w:rPr>
              <w:t>1回</w:t>
            </w:r>
          </w:p>
        </w:tc>
        <w:tc>
          <w:tcPr>
            <w:tcW w:type="dxa" w:w="1020"/>
            <w:vAlign w:val="center"/>
          </w:tcPr>
          <w:p>
            <w:pPr>
              <w:keepNext/>
              <w:spacing w:before="20" w:after="20"/>
            </w:pPr>
            <w:r>
              <w:rPr>
                <w:rFonts w:ascii="游ゴシック" w:hAnsi="游ゴシック" w:eastAsia="游ゴシック"/>
                <w:b w:val="0"/>
                <w:i w:val="0"/>
                <w:sz w:val="17"/>
              </w:rPr>
              <w:t>p.73・74・75</w:t>
            </w:r>
          </w:p>
        </w:tc>
      </w:tr>
      <w:tr>
        <w:tc>
          <w:tcPr>
            <w:tcW w:type="dxa" w:w="1928"/>
            <w:vAlign w:val="center"/>
          </w:tcPr>
          <w:p>
            <w:pPr>
              <w:spacing w:before="20" w:after="20"/>
            </w:pPr>
            <w:r>
              <w:rPr>
                <w:rFonts w:ascii="游ゴシック" w:hAnsi="游ゴシック" w:eastAsia="游ゴシック"/>
                <w:b w:val="0"/>
                <w:i w:val="0"/>
                <w:sz w:val="17"/>
              </w:rPr>
              <w:t>障がい福祉サービス等の質の向上</w:t>
            </w:r>
          </w:p>
        </w:tc>
        <w:tc>
          <w:tcPr>
            <w:tcW w:type="dxa" w:w="2494"/>
            <w:vAlign w:val="center"/>
          </w:tcPr>
          <w:p>
            <w:pPr>
              <w:spacing w:before="20" w:after="20"/>
            </w:pPr>
            <w:r>
              <w:rPr>
                <w:rFonts w:ascii="游ゴシック" w:hAnsi="游ゴシック" w:eastAsia="游ゴシック"/>
                <w:b w:val="0"/>
                <w:i w:val="0"/>
                <w:sz w:val="17"/>
              </w:rPr>
              <w:t>県の研修への町職員の参加、審査結果の分析・共有</w:t>
            </w:r>
          </w:p>
        </w:tc>
        <w:tc>
          <w:tcPr>
            <w:tcW w:type="dxa" w:w="4309"/>
            <w:vAlign w:val="center"/>
          </w:tcPr>
          <w:p>
            <w:pPr>
              <w:spacing w:before="20" w:after="20"/>
            </w:pPr>
            <w:r>
              <w:rPr>
                <w:rFonts w:ascii="游ゴシック" w:hAnsi="游ゴシック" w:eastAsia="游ゴシック"/>
                <w:b w:val="0"/>
                <w:i w:val="0"/>
                <w:sz w:val="17"/>
              </w:rPr>
              <w:t>研修参加</w:t>
            </w:r>
            <w:r>
              <w:rPr>
                <w:rFonts w:ascii="游ゴシック" w:hAnsi="游ゴシック" w:eastAsia="游ゴシック"/>
                <w:b/>
                <w:i w:val="0"/>
                <w:sz w:val="17"/>
              </w:rPr>
              <w:t>1人</w:t>
            </w:r>
            <w:r>
              <w:rPr>
                <w:rFonts w:ascii="游ゴシック" w:hAnsi="游ゴシック" w:eastAsia="游ゴシック"/>
                <w:b w:val="0"/>
                <w:i w:val="0"/>
                <w:sz w:val="17"/>
              </w:rPr>
              <w:t>、分析・共有の体制</w:t>
            </w:r>
            <w:r>
              <w:rPr>
                <w:rFonts w:ascii="游ゴシック" w:hAnsi="游ゴシック" w:eastAsia="游ゴシック"/>
                <w:b/>
                <w:i w:val="0"/>
                <w:sz w:val="17"/>
              </w:rPr>
              <w:t>有</w:t>
            </w:r>
            <w:r>
              <w:rPr>
                <w:rFonts w:ascii="游ゴシック" w:hAnsi="游ゴシック" w:eastAsia="游ゴシック"/>
                <w:b w:val="0"/>
                <w:i w:val="0"/>
                <w:sz w:val="17"/>
              </w:rPr>
              <w:t>・共有</w:t>
            </w:r>
            <w:r>
              <w:rPr>
                <w:rFonts w:ascii="游ゴシック" w:hAnsi="游ゴシック" w:eastAsia="游ゴシック"/>
                <w:b/>
                <w:i w:val="0"/>
                <w:sz w:val="17"/>
              </w:rPr>
              <w:t>年1回</w:t>
            </w:r>
          </w:p>
        </w:tc>
        <w:tc>
          <w:tcPr>
            <w:tcW w:type="dxa" w:w="1020"/>
            <w:vAlign w:val="center"/>
          </w:tcPr>
          <w:p>
            <w:pPr>
              <w:spacing w:before="20" w:after="20"/>
            </w:pPr>
            <w:r>
              <w:rPr>
                <w:rFonts w:ascii="游ゴシック" w:hAnsi="游ゴシック" w:eastAsia="游ゴシック"/>
                <w:b w:val="0"/>
                <w:i w:val="0"/>
                <w:sz w:val="17"/>
              </w:rPr>
              <w:t>p.76</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資料：おのまち障がい者基本計画・第7期障がい福祉計画・第3期障がい児福祉計画（令和6年3月）第3部第5章。頁は計画書の印字の頁。</w:t>
      </w:r>
      <w:r>
        <w:rPr>
          <w:rFonts w:ascii="游ゴシック" w:hAnsi="游ゴシック" w:eastAsia="游ゴシック"/>
          <w:b/>
          <w:i w:val="0"/>
          <w:sz w:val="17"/>
        </w:rPr>
        <w:t>値は書き写さず、生成のたびに原本の該当頁にあることを照合しています。</w:t>
      </w:r>
    </w:p>
    <w:p>
      <w:pPr>
        <w:spacing w:before="60" w:after="60"/>
      </w:pPr>
      <w:r>
        <w:rPr>
          <w:rFonts w:ascii="游ゴシック" w:hAnsi="游ゴシック" w:eastAsia="游ゴシック"/>
          <w:b/>
          <w:i w:val="0"/>
          <w:sz w:val="21"/>
        </w:rPr>
        <w:t>2つの行は、達成状況を「未達成」と書くと誤ります。</w:t>
      </w:r>
    </w:p>
    <w:p>
      <w:pPr>
        <w:spacing w:before="40" w:after="40"/>
        <w:ind w:left="227"/>
      </w:pPr>
      <w:r>
        <w:rPr>
          <w:rFonts w:ascii="游ゴシック" w:hAnsi="游ゴシック" w:eastAsia="游ゴシック"/>
          <w:b w:val="0"/>
          <w:i w:val="0"/>
          <w:sz w:val="21"/>
        </w:rPr>
        <w:t>・施設入所者の地域生活移行：目標そのものが成り立たない値でした（№14）。達成状況の欄は「前回の目標は基準の入所者数を上回っており、評価の基準にならない」と書き、直近の入所者19人（令和7年度末）を令和4年度末の26人と比べて示すことを推奨します。</w:t>
      </w:r>
    </w:p>
    <w:p>
      <w:pPr>
        <w:spacing w:before="40" w:after="40"/>
        <w:ind w:left="227"/>
      </w:pPr>
      <w:r>
        <w:rPr>
          <w:rFonts w:ascii="游ゴシック" w:hAnsi="游ゴシック" w:eastAsia="游ゴシック"/>
          <w:b w:val="0"/>
          <w:i w:val="0"/>
          <w:sz w:val="21"/>
        </w:rPr>
        <w:t>・精神障がいにも対応した地域包括ケアシステム：前回計画では町の成果目標を置いていません。「第7期は目標の設定なし（県が設定）」と書きます。</w:t>
      </w:r>
    </w:p>
    <w:p>
      <w:pPr>
        <w:pStyle w:val="Heading1"/>
        <w:keepNext/>
        <w:spacing w:before="240" w:after="100"/>
      </w:pPr>
      <w:bookmarkStart w:id="109" w:name="_Toc_009"/>
      <w:r>
        <w:rPr>
          <w:rFonts w:ascii="游ゴシック" w:hAnsi="游ゴシック" w:eastAsia="游ゴシック"/>
          <w:b/>
          <w:i w:val="0"/>
          <w:color w:val="2E74B5"/>
          <w:sz w:val="30"/>
        </w:rPr>
        <w:t>4　判断をいただきたいこと</w:t>
      </w:r>
      <w:bookmarkEnd w:id="109"/>
    </w:p>
    <w:p>
      <w:pPr>
        <w:keepNext/>
        <w:spacing w:before="200" w:after="40"/>
      </w:pPr>
      <w:r>
        <w:rPr>
          <w:rFonts w:ascii="游ゴシック" w:hAnsi="游ゴシック" w:eastAsia="游ゴシック"/>
          <w:b/>
          <w:i w:val="0"/>
          <w:color w:val="1F4D78"/>
          <w:sz w:val="22"/>
        </w:rPr>
        <w:t>【表8】判断をいただきたいこと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7"/>
        <w:gridCol w:w="3969"/>
        <w:gridCol w:w="4195"/>
      </w:tblGrid>
      <w:tr>
        <w:tc>
          <w:tcPr>
            <w:tcW w:type="dxa" w:w="1587"/>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当方素案と他素案の違い</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当方の推奨</w:t>
            </w:r>
          </w:p>
        </w:tc>
      </w:tr>
      <w:tr>
        <w:tc>
          <w:tcPr>
            <w:tcW w:type="dxa" w:w="1587"/>
            <w:vAlign w:val="center"/>
          </w:tcPr>
          <w:p>
            <w:pPr>
              <w:spacing w:before="20" w:after="20"/>
            </w:pPr>
            <w:r>
              <w:rPr>
                <w:rFonts w:ascii="游ゴシック" w:hAnsi="游ゴシック" w:eastAsia="游ゴシック"/>
                <w:b w:val="0"/>
                <w:i w:val="0"/>
                <w:sz w:val="17"/>
              </w:rPr>
              <w:t>意思決定支援の位置</w:t>
            </w:r>
          </w:p>
        </w:tc>
        <w:tc>
          <w:tcPr>
            <w:tcW w:type="dxa" w:w="3969"/>
            <w:vAlign w:val="center"/>
          </w:tcPr>
          <w:p>
            <w:pPr>
              <w:spacing w:before="20" w:after="20"/>
            </w:pPr>
            <w:r>
              <w:rPr>
                <w:rFonts w:ascii="游ゴシック" w:hAnsi="游ゴシック" w:eastAsia="游ゴシック"/>
                <w:b w:val="0"/>
                <w:i w:val="0"/>
                <w:sz w:val="17"/>
              </w:rPr>
              <w:t>当方：第2部第2章（差別解消・権利擁護）の独立した節。他素案：第2部第7章1（意思決定支援及び相談支援体制の充実）</w:t>
            </w:r>
          </w:p>
        </w:tc>
        <w:tc>
          <w:tcPr>
            <w:tcW w:type="dxa" w:w="4195"/>
            <w:vAlign w:val="center"/>
          </w:tcPr>
          <w:p>
            <w:pPr>
              <w:spacing w:before="20" w:after="20"/>
            </w:pPr>
            <w:r>
              <w:rPr>
                <w:rFonts w:ascii="游ゴシック" w:hAnsi="游ゴシック" w:eastAsia="游ゴシック"/>
                <w:b/>
                <w:i w:val="0"/>
                <w:sz w:val="17"/>
              </w:rPr>
              <w:t>他素案の位置のままとし、第2章から参照する</w:t>
            </w:r>
            <w:r>
              <w:rPr>
                <w:rFonts w:ascii="游ゴシック" w:hAnsi="游ゴシック" w:eastAsia="游ゴシック"/>
                <w:b w:val="0"/>
                <w:i w:val="0"/>
                <w:sz w:val="17"/>
              </w:rPr>
              <w:t>ことを推奨。基本指針は権利擁護の文脈で求めているが、章立てを動かすほどの差ではない</w:t>
            </w:r>
          </w:p>
        </w:tc>
      </w:tr>
      <w:tr>
        <w:tc>
          <w:tcPr>
            <w:tcW w:type="dxa" w:w="1587"/>
            <w:vAlign w:val="center"/>
          </w:tcPr>
          <w:p>
            <w:pPr>
              <w:keepNext/>
              <w:spacing w:before="20" w:after="20"/>
            </w:pPr>
            <w:r>
              <w:rPr>
                <w:rFonts w:ascii="游ゴシック" w:hAnsi="游ゴシック" w:eastAsia="游ゴシック"/>
                <w:b w:val="0"/>
                <w:i w:val="0"/>
                <w:sz w:val="17"/>
              </w:rPr>
              <w:t>未確定箇所の表示</w:t>
            </w:r>
          </w:p>
        </w:tc>
        <w:tc>
          <w:tcPr>
            <w:tcW w:type="dxa" w:w="3969"/>
            <w:vAlign w:val="center"/>
          </w:tcPr>
          <w:p>
            <w:pPr>
              <w:keepNext/>
              <w:spacing w:before="20" w:after="20"/>
            </w:pPr>
            <w:r>
              <w:rPr>
                <w:rFonts w:ascii="游ゴシック" w:hAnsi="游ゴシック" w:eastAsia="游ゴシック"/>
                <w:b w:val="0"/>
                <w:i w:val="0"/>
                <w:sz w:val="17"/>
              </w:rPr>
              <w:t>当方：理由により5種類（【町データ待ち】等）。他素案：【要確認】と「○人」</w:t>
            </w:r>
          </w:p>
        </w:tc>
        <w:tc>
          <w:tcPr>
            <w:tcW w:type="dxa" w:w="4195"/>
            <w:vAlign w:val="center"/>
          </w:tcPr>
          <w:p>
            <w:pPr>
              <w:keepNext/>
              <w:spacing w:before="20" w:after="20"/>
            </w:pPr>
            <w:r>
              <w:rPr>
                <w:rFonts w:ascii="游ゴシック" w:hAnsi="游ゴシック" w:eastAsia="游ゴシック"/>
                <w:b/>
                <w:i w:val="0"/>
                <w:sz w:val="17"/>
              </w:rPr>
              <w:t>他素案の表示に合わせる</w:t>
            </w:r>
            <w:r>
              <w:rPr>
                <w:rFonts w:ascii="游ゴシック" w:hAnsi="游ゴシック" w:eastAsia="游ゴシック"/>
                <w:b w:val="0"/>
                <w:i w:val="0"/>
                <w:sz w:val="17"/>
              </w:rPr>
              <w:t>ことを推奨。ただし協議用に出すなら、レビューMD 1-3 のとおり本文で仮置きの値を明示する</w:t>
            </w:r>
          </w:p>
        </w:tc>
      </w:tr>
      <w:tr>
        <w:tc>
          <w:tcPr>
            <w:tcW w:type="dxa" w:w="1587"/>
            <w:vAlign w:val="center"/>
          </w:tcPr>
          <w:p>
            <w:pPr>
              <w:spacing w:before="20" w:after="20"/>
            </w:pPr>
            <w:r>
              <w:rPr>
                <w:rFonts w:ascii="游ゴシック" w:hAnsi="游ゴシック" w:eastAsia="游ゴシック"/>
                <w:b w:val="0"/>
                <w:i w:val="0"/>
                <w:sz w:val="17"/>
              </w:rPr>
              <w:t>手帳所持者数の時点</w:t>
            </w:r>
          </w:p>
        </w:tc>
        <w:tc>
          <w:tcPr>
            <w:tcW w:type="dxa" w:w="3969"/>
            <w:vAlign w:val="center"/>
          </w:tcPr>
          <w:p>
            <w:pPr>
              <w:spacing w:before="20" w:after="20"/>
            </w:pPr>
            <w:r>
              <w:rPr>
                <w:rFonts w:ascii="游ゴシック" w:hAnsi="游ゴシック" w:eastAsia="游ゴシック"/>
                <w:b w:val="0"/>
                <w:i w:val="0"/>
                <w:sz w:val="17"/>
              </w:rPr>
              <w:t>他素案：各年1月1日（地域福祉計画）。当方：各年4月1日（健康福祉課）</w:t>
            </w:r>
          </w:p>
        </w:tc>
        <w:tc>
          <w:tcPr>
            <w:tcW w:type="dxa" w:w="4195"/>
            <w:vAlign w:val="center"/>
          </w:tcPr>
          <w:p>
            <w:pPr>
              <w:spacing w:before="20" w:after="20"/>
            </w:pPr>
            <w:r>
              <w:rPr>
                <w:rFonts w:ascii="游ゴシック" w:hAnsi="游ゴシック" w:eastAsia="游ゴシック"/>
                <w:b w:val="0"/>
                <w:i w:val="0"/>
                <w:sz w:val="17"/>
              </w:rPr>
              <w:t>町に、計画に載せる時点を決めていただく</w:t>
            </w:r>
          </w:p>
        </w:tc>
      </w:tr>
    </w:tbl>
    <w:p>
      <w:pPr>
        <w:spacing w:after="40"/>
      </w:pPr>
    </w:p>
    <w:p>
      <w:pPr>
        <w:pStyle w:val="Heading1"/>
        <w:keepNext/>
        <w:spacing w:before="240" w:after="100"/>
      </w:pPr>
      <w:bookmarkStart w:id="110" w:name="_Toc_010"/>
      <w:r>
        <w:rPr>
          <w:rFonts w:ascii="游ゴシック" w:hAnsi="游ゴシック" w:eastAsia="游ゴシック"/>
          <w:b/>
          <w:i w:val="0"/>
          <w:color w:val="2E74B5"/>
          <w:sz w:val="30"/>
        </w:rPr>
        <w:t>5　他素案へ入れないもの</w:t>
      </w:r>
      <w:bookmarkEnd w:id="110"/>
    </w:p>
    <w:p>
      <w:pPr>
        <w:spacing w:before="60" w:after="60"/>
      </w:pPr>
      <w:r>
        <w:rPr>
          <w:rFonts w:ascii="游ゴシック" w:hAnsi="游ゴシック" w:eastAsia="游ゴシック"/>
          <w:b w:val="0"/>
          <w:i w:val="0"/>
          <w:sz w:val="21"/>
        </w:rPr>
        <w:t>当方素案にあるもののうち、次は他素案の記述で足りるため入れません（対応表の「不要」2件のほか）。</w:t>
      </w:r>
    </w:p>
    <w:p>
      <w:pPr>
        <w:keepNext/>
        <w:spacing w:before="200" w:after="40"/>
      </w:pPr>
      <w:r>
        <w:rPr>
          <w:rFonts w:ascii="游ゴシック" w:hAnsi="游ゴシック" w:eastAsia="游ゴシック"/>
          <w:b/>
          <w:i w:val="0"/>
          <w:color w:val="1F4D78"/>
          <w:sz w:val="22"/>
        </w:rPr>
        <w:t>【表9】他素案へ入れないもの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6350"/>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当方素案の箇所</w:t>
            </w:r>
          </w:p>
        </w:tc>
        <w:tc>
          <w:tcPr>
            <w:tcW w:type="dxa" w:w="6350"/>
            <w:shd w:val="clear" w:fill="1F3864"/>
            <w:vAlign w:val="center"/>
          </w:tcPr>
          <w:p>
            <w:pPr>
              <w:spacing w:before="20" w:after="20"/>
              <w:jc w:val="center"/>
            </w:pPr>
            <w:r>
              <w:rPr>
                <w:rFonts w:ascii="游ゴシック" w:hAnsi="游ゴシック" w:eastAsia="游ゴシック"/>
                <w:b/>
                <w:i w:val="0"/>
                <w:color w:val="FFFFFF"/>
                <w:sz w:val="17"/>
              </w:rPr>
              <w:t>入れない理由</w:t>
            </w:r>
          </w:p>
        </w:tc>
      </w:tr>
      <w:tr>
        <w:tc>
          <w:tcPr>
            <w:tcW w:type="dxa" w:w="3402"/>
            <w:vAlign w:val="center"/>
          </w:tcPr>
          <w:p>
            <w:pPr>
              <w:spacing w:before="20" w:after="20"/>
            </w:pPr>
            <w:r>
              <w:rPr>
                <w:rFonts w:ascii="游ゴシック" w:hAnsi="游ゴシック" w:eastAsia="游ゴシック"/>
                <w:b w:val="0"/>
                <w:i w:val="0"/>
                <w:sz w:val="17"/>
              </w:rPr>
              <w:t>第1部第2章1・4〜7（人口・支援区分・利用状況・提供体制）</w:t>
            </w:r>
          </w:p>
        </w:tc>
        <w:tc>
          <w:tcPr>
            <w:tcW w:type="dxa" w:w="6350"/>
            <w:vAlign w:val="center"/>
          </w:tcPr>
          <w:p>
            <w:pPr>
              <w:spacing w:before="20" w:after="20"/>
            </w:pPr>
            <w:r>
              <w:rPr>
                <w:rFonts w:ascii="游ゴシック" w:hAnsi="游ゴシック" w:eastAsia="游ゴシック"/>
                <w:b w:val="0"/>
                <w:i w:val="0"/>
                <w:sz w:val="17"/>
              </w:rPr>
              <w:t>他素案の第1部第3章が具体的。当方の記述の多くが【町データ待ち】のまま</w:t>
            </w:r>
          </w:p>
        </w:tc>
      </w:tr>
      <w:tr>
        <w:tc>
          <w:tcPr>
            <w:tcW w:type="dxa" w:w="3402"/>
            <w:vAlign w:val="center"/>
          </w:tcPr>
          <w:p>
            <w:pPr>
              <w:spacing w:before="20" w:after="20"/>
            </w:pPr>
            <w:r>
              <w:rPr>
                <w:rFonts w:ascii="游ゴシック" w:hAnsi="游ゴシック" w:eastAsia="游ゴシック"/>
                <w:b w:val="0"/>
                <w:i w:val="0"/>
                <w:sz w:val="17"/>
              </w:rPr>
              <w:t>第2部の各章の「施策の方向」</w:t>
            </w:r>
          </w:p>
        </w:tc>
        <w:tc>
          <w:tcPr>
            <w:tcW w:type="dxa" w:w="6350"/>
            <w:vAlign w:val="center"/>
          </w:tcPr>
          <w:p>
            <w:pPr>
              <w:spacing w:before="20" w:after="20"/>
            </w:pPr>
            <w:r>
              <w:rPr>
                <w:rFonts w:ascii="游ゴシック" w:hAnsi="游ゴシック" w:eastAsia="游ゴシック"/>
                <w:b w:val="0"/>
                <w:i w:val="0"/>
                <w:sz w:val="17"/>
              </w:rPr>
              <w:t>他素案のほうが厚い。当方の組み替え3点のうち意思決定支援の位置だけは判断が要る（4章）</w:t>
            </w:r>
          </w:p>
        </w:tc>
      </w:tr>
      <w:tr>
        <w:tc>
          <w:tcPr>
            <w:tcW w:type="dxa" w:w="3402"/>
            <w:vAlign w:val="center"/>
          </w:tcPr>
          <w:p>
            <w:pPr>
              <w:spacing w:before="20" w:after="20"/>
            </w:pPr>
            <w:r>
              <w:rPr>
                <w:rFonts w:ascii="游ゴシック" w:hAnsi="游ゴシック" w:eastAsia="游ゴシック"/>
                <w:b w:val="0"/>
                <w:i w:val="0"/>
                <w:sz w:val="17"/>
              </w:rPr>
              <w:t>第3部第3章（見込量確保のための方策）</w:t>
            </w:r>
          </w:p>
        </w:tc>
        <w:tc>
          <w:tcPr>
            <w:tcW w:type="dxa" w:w="6350"/>
            <w:vAlign w:val="center"/>
          </w:tcPr>
          <w:p>
            <w:pPr>
              <w:spacing w:before="20" w:after="20"/>
            </w:pPr>
            <w:r>
              <w:rPr>
                <w:rFonts w:ascii="游ゴシック" w:hAnsi="游ゴシック" w:eastAsia="游ゴシック"/>
                <w:b w:val="0"/>
                <w:i w:val="0"/>
                <w:sz w:val="17"/>
              </w:rPr>
              <w:t>他素案の第6章5（共通事項）と各サービスの方策が具体的</w:t>
            </w:r>
          </w:p>
        </w:tc>
      </w:tr>
      <w:tr>
        <w:tc>
          <w:tcPr>
            <w:tcW w:type="dxa" w:w="3402"/>
            <w:vAlign w:val="center"/>
          </w:tcPr>
          <w:p>
            <w:pPr>
              <w:keepNext/>
              <w:spacing w:before="20" w:after="20"/>
            </w:pPr>
            <w:r>
              <w:rPr>
                <w:rFonts w:ascii="游ゴシック" w:hAnsi="游ゴシック" w:eastAsia="游ゴシック"/>
                <w:b w:val="0"/>
                <w:i w:val="0"/>
                <w:sz w:val="17"/>
              </w:rPr>
              <w:t>第4部1・3・4（推進体制・進行管理・周知）</w:t>
            </w:r>
          </w:p>
        </w:tc>
        <w:tc>
          <w:tcPr>
            <w:tcW w:type="dxa" w:w="6350"/>
            <w:vAlign w:val="center"/>
          </w:tcPr>
          <w:p>
            <w:pPr>
              <w:keepNext/>
              <w:spacing w:before="20" w:after="20"/>
            </w:pPr>
            <w:r>
              <w:rPr>
                <w:rFonts w:ascii="游ゴシック" w:hAnsi="游ゴシック" w:eastAsia="游ゴシック"/>
                <w:b w:val="0"/>
                <w:i w:val="0"/>
                <w:sz w:val="17"/>
              </w:rPr>
              <w:t>他素案の第1部第2章（年次の点検評価）が具体的</w:t>
            </w:r>
          </w:p>
        </w:tc>
      </w:tr>
      <w:tr>
        <w:tc>
          <w:tcPr>
            <w:tcW w:type="dxa" w:w="3402"/>
            <w:vAlign w:val="center"/>
          </w:tcPr>
          <w:p>
            <w:pPr>
              <w:spacing w:before="20" w:after="20"/>
            </w:pPr>
            <w:r>
              <w:rPr>
                <w:rFonts w:ascii="游ゴシック" w:hAnsi="游ゴシック" w:eastAsia="游ゴシック"/>
                <w:b w:val="0"/>
                <w:i w:val="0"/>
                <w:sz w:val="17"/>
              </w:rPr>
              <w:t>資料編1〜3</w:t>
            </w:r>
          </w:p>
        </w:tc>
        <w:tc>
          <w:tcPr>
            <w:tcW w:type="dxa" w:w="6350"/>
            <w:vAlign w:val="center"/>
          </w:tcPr>
          <w:p>
            <w:pPr>
              <w:spacing w:before="20" w:after="20"/>
            </w:pPr>
            <w:r>
              <w:rPr>
                <w:rFonts w:ascii="游ゴシック" w:hAnsi="游ゴシック" w:eastAsia="游ゴシック"/>
                <w:b w:val="0"/>
                <w:i w:val="0"/>
                <w:sz w:val="17"/>
              </w:rPr>
              <w:t>他素案の資料編が具体的</w:t>
            </w:r>
          </w:p>
        </w:tc>
      </w:tr>
    </w:tbl>
    <w:p>
      <w:pPr>
        <w:spacing w:after="40"/>
      </w:pPr>
    </w:p>
    <w:p>
      <w:pPr>
        <w:pStyle w:val="Heading1"/>
        <w:keepNext/>
        <w:spacing w:before="240" w:after="100"/>
      </w:pPr>
      <w:bookmarkStart w:id="111" w:name="_Toc_011"/>
      <w:r>
        <w:rPr>
          <w:rFonts w:ascii="游ゴシック" w:hAnsi="游ゴシック" w:eastAsia="游ゴシック"/>
          <w:b/>
          <w:i w:val="0"/>
          <w:color w:val="2E74B5"/>
          <w:sz w:val="30"/>
        </w:rPr>
        <w:t>6　当方素案以外の出所で対応が要るもの</w:t>
      </w:r>
      <w:bookmarkEnd w:id="111"/>
    </w:p>
    <w:p>
      <w:pPr>
        <w:spacing w:before="60" w:after="60"/>
      </w:pPr>
      <w:r>
        <w:rPr>
          <w:rFonts w:ascii="游ゴシック" w:hAnsi="游ゴシック" w:eastAsia="游ゴシック"/>
          <w:b w:val="0"/>
          <w:i w:val="0"/>
          <w:sz w:val="21"/>
        </w:rPr>
        <w:t>レビューMDの指摘のうち、当方素案からの追加では解消しないものです。</w:t>
      </w:r>
      <w:r>
        <w:rPr>
          <w:rFonts w:ascii="游ゴシック" w:hAnsi="游ゴシック" w:eastAsia="游ゴシック"/>
          <w:b/>
          <w:i w:val="0"/>
          <w:sz w:val="21"/>
        </w:rPr>
        <w:t>1-1の今期調査の反映は、他素案・当方素案のどちらにも入っていません。</w:t>
      </w:r>
      <w:r>
        <w:rPr>
          <w:rFonts w:ascii="游ゴシック" w:hAnsi="游ゴシック" w:eastAsia="游ゴシック"/>
          <w:b w:val="0"/>
          <w:i w:val="0"/>
          <w:sz w:val="21"/>
        </w:rPr>
        <w:t xml:space="preserve"> アンケート報告書を出所として、当方で引き受けられます。</w:t>
      </w:r>
    </w:p>
    <w:p>
      <w:pPr>
        <w:keepNext/>
        <w:spacing w:before="200" w:after="40"/>
      </w:pPr>
      <w:r>
        <w:rPr>
          <w:rFonts w:ascii="游ゴシック" w:hAnsi="游ゴシック" w:eastAsia="游ゴシック"/>
          <w:b/>
          <w:i w:val="0"/>
          <w:color w:val="1F4D78"/>
          <w:sz w:val="22"/>
        </w:rPr>
        <w:t>【表10】当方素案以外の出所で対応するもの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2835"/>
        <w:gridCol w:w="1928"/>
        <w:gridCol w:w="4309"/>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指摘</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680"/>
            <w:vAlign w:val="center"/>
          </w:tcPr>
          <w:p>
            <w:pPr>
              <w:spacing w:before="20" w:after="20"/>
            </w:pPr>
            <w:r>
              <w:rPr>
                <w:rFonts w:ascii="游ゴシック" w:hAnsi="游ゴシック" w:eastAsia="游ゴシック"/>
                <w:b w:val="0"/>
                <w:i w:val="0"/>
                <w:sz w:val="17"/>
              </w:rPr>
              <w:t>1-1</w:t>
            </w:r>
          </w:p>
        </w:tc>
        <w:tc>
          <w:tcPr>
            <w:tcW w:type="dxa" w:w="2835"/>
            <w:vAlign w:val="center"/>
          </w:tcPr>
          <w:p>
            <w:pPr>
              <w:spacing w:before="20" w:after="20"/>
            </w:pPr>
            <w:r>
              <w:rPr>
                <w:rFonts w:ascii="游ゴシック" w:hAnsi="游ゴシック" w:eastAsia="游ゴシック"/>
                <w:b w:val="0"/>
                <w:i w:val="0"/>
                <w:sz w:val="17"/>
              </w:rPr>
              <w:t>今期調査（令和8年8〜9月、成人259件・児童25件）の反映</w:t>
            </w:r>
          </w:p>
        </w:tc>
        <w:tc>
          <w:tcPr>
            <w:tcW w:type="dxa" w:w="1928"/>
            <w:vAlign w:val="center"/>
          </w:tcPr>
          <w:p>
            <w:pPr>
              <w:spacing w:before="20" w:after="20"/>
            </w:pPr>
            <w:r>
              <w:rPr>
                <w:rFonts w:ascii="游ゴシック" w:hAnsi="游ゴシック" w:eastAsia="游ゴシック"/>
                <w:b w:val="0"/>
                <w:i w:val="0"/>
                <w:sz w:val="17"/>
              </w:rPr>
              <w:t>アンケート分析報告書</w:t>
            </w:r>
          </w:p>
        </w:tc>
        <w:tc>
          <w:tcPr>
            <w:tcW w:type="dxa" w:w="4309"/>
            <w:vAlign w:val="center"/>
          </w:tcPr>
          <w:p>
            <w:pPr>
              <w:spacing w:before="20" w:after="20"/>
            </w:pPr>
            <w:r>
              <w:rPr>
                <w:rFonts w:ascii="游ゴシック" w:hAnsi="游ゴシック" w:eastAsia="游ゴシック"/>
                <w:b w:val="0"/>
                <w:i w:val="0"/>
                <w:sz w:val="17"/>
              </w:rPr>
              <w:t>他素案・当方素案のどちらにも入っていない。第1部第1章4（2）の調査概要、第1部第3章5の表、第2部各章の調査図表、第3部第6章の短期入所の説明、資料編3。</w:t>
            </w:r>
            <w:r>
              <w:rPr>
                <w:rFonts w:ascii="游ゴシック" w:hAnsi="游ゴシック" w:eastAsia="游ゴシック"/>
                <w:b/>
                <w:i w:val="0"/>
                <w:sz w:val="17"/>
              </w:rPr>
              <w:t>当方で引き受けられる</w:t>
            </w:r>
          </w:p>
        </w:tc>
      </w:tr>
      <w:tr>
        <w:tc>
          <w:tcPr>
            <w:tcW w:type="dxa" w:w="680"/>
            <w:vAlign w:val="center"/>
          </w:tcPr>
          <w:p>
            <w:pPr>
              <w:spacing w:before="20" w:after="20"/>
            </w:pPr>
            <w:r>
              <w:rPr>
                <w:rFonts w:ascii="游ゴシック" w:hAnsi="游ゴシック" w:eastAsia="游ゴシック"/>
                <w:b w:val="0"/>
                <w:i w:val="0"/>
                <w:sz w:val="17"/>
              </w:rPr>
              <w:t>1-2</w:t>
            </w:r>
          </w:p>
        </w:tc>
        <w:tc>
          <w:tcPr>
            <w:tcW w:type="dxa" w:w="2835"/>
            <w:vAlign w:val="center"/>
          </w:tcPr>
          <w:p>
            <w:pPr>
              <w:spacing w:before="20" w:after="20"/>
            </w:pPr>
            <w:r>
              <w:rPr>
                <w:rFonts w:ascii="游ゴシック" w:hAnsi="游ゴシック" w:eastAsia="游ゴシック"/>
                <w:b w:val="0"/>
                <w:i w:val="0"/>
                <w:sz w:val="17"/>
              </w:rPr>
              <w:t>報告書の災害関係の順位の読み違い（5か所）</w:t>
            </w:r>
          </w:p>
        </w:tc>
        <w:tc>
          <w:tcPr>
            <w:tcW w:type="dxa" w:w="1928"/>
            <w:vAlign w:val="center"/>
          </w:tcPr>
          <w:p>
            <w:pPr>
              <w:spacing w:before="20" w:after="20"/>
            </w:pPr>
            <w:r>
              <w:rPr>
                <w:rFonts w:ascii="游ゴシック" w:hAnsi="游ゴシック" w:eastAsia="游ゴシック"/>
                <w:b w:val="0"/>
                <w:i w:val="0"/>
                <w:sz w:val="17"/>
              </w:rPr>
              <w:t>報告書・同ワークシート</w:t>
            </w:r>
          </w:p>
        </w:tc>
        <w:tc>
          <w:tcPr>
            <w:tcW w:type="dxa" w:w="4309"/>
            <w:vAlign w:val="center"/>
          </w:tcPr>
          <w:p>
            <w:pPr>
              <w:spacing w:before="20" w:after="20"/>
            </w:pPr>
            <w:r>
              <w:rPr>
                <w:rFonts w:ascii="游ゴシック" w:hAnsi="游ゴシック" w:eastAsia="游ゴシック"/>
                <w:b w:val="0"/>
                <w:i w:val="0"/>
                <w:sz w:val="17"/>
              </w:rPr>
              <w:t>計画素案ではなく報告書側の修正</w:t>
            </w:r>
          </w:p>
        </w:tc>
      </w:tr>
      <w:tr>
        <w:tc>
          <w:tcPr>
            <w:tcW w:type="dxa" w:w="680"/>
            <w:vAlign w:val="center"/>
          </w:tcPr>
          <w:p>
            <w:pPr>
              <w:spacing w:before="20" w:after="20"/>
            </w:pPr>
            <w:r>
              <w:rPr>
                <w:rFonts w:ascii="游ゴシック" w:hAnsi="游ゴシック" w:eastAsia="游ゴシック"/>
                <w:b w:val="0"/>
                <w:i w:val="0"/>
                <w:sz w:val="17"/>
              </w:rPr>
              <w:t>1-4</w:t>
            </w:r>
          </w:p>
        </w:tc>
        <w:tc>
          <w:tcPr>
            <w:tcW w:type="dxa" w:w="2835"/>
            <w:vAlign w:val="center"/>
          </w:tcPr>
          <w:p>
            <w:pPr>
              <w:spacing w:before="20" w:after="20"/>
            </w:pPr>
            <w:r>
              <w:rPr>
                <w:rFonts w:ascii="游ゴシック" w:hAnsi="游ゴシック" w:eastAsia="游ゴシック"/>
                <w:b w:val="0"/>
                <w:i w:val="0"/>
                <w:sz w:val="17"/>
              </w:rPr>
              <w:t>パブリックコメントを実施済みと書いている記述</w:t>
            </w:r>
          </w:p>
        </w:tc>
        <w:tc>
          <w:tcPr>
            <w:tcW w:type="dxa" w:w="1928"/>
            <w:vAlign w:val="center"/>
          </w:tcPr>
          <w:p>
            <w:pPr>
              <w:spacing w:before="20" w:after="20"/>
            </w:pPr>
            <w:r>
              <w:rPr>
                <w:rFonts w:ascii="游ゴシック" w:hAnsi="游ゴシック" w:eastAsia="游ゴシック"/>
                <w:b w:val="0"/>
                <w:i w:val="0"/>
                <w:sz w:val="17"/>
              </w:rPr>
              <w:t>他素案 第1部第1章4（3）</w:t>
            </w:r>
          </w:p>
        </w:tc>
        <w:tc>
          <w:tcPr>
            <w:tcW w:type="dxa" w:w="4309"/>
            <w:vAlign w:val="center"/>
          </w:tcPr>
          <w:p>
            <w:pPr>
              <w:spacing w:before="20" w:after="20"/>
            </w:pPr>
            <w:r>
              <w:rPr>
                <w:rFonts w:ascii="游ゴシック" w:hAnsi="游ゴシック" w:eastAsia="游ゴシック"/>
                <w:b w:val="0"/>
                <w:i w:val="0"/>
                <w:sz w:val="17"/>
              </w:rPr>
              <w:t>「実施予定」に改める。資料編3に令和8年調査を加える</w:t>
            </w:r>
          </w:p>
        </w:tc>
      </w:tr>
      <w:tr>
        <w:tc>
          <w:tcPr>
            <w:tcW w:type="dxa" w:w="680"/>
            <w:vAlign w:val="center"/>
          </w:tcPr>
          <w:p>
            <w:pPr>
              <w:keepNext/>
              <w:spacing w:before="20" w:after="20"/>
            </w:pPr>
            <w:r>
              <w:rPr>
                <w:rFonts w:ascii="游ゴシック" w:hAnsi="游ゴシック" w:eastAsia="游ゴシック"/>
                <w:b w:val="0"/>
                <w:i w:val="0"/>
                <w:sz w:val="17"/>
              </w:rPr>
              <w:t>1-5</w:t>
            </w:r>
          </w:p>
        </w:tc>
        <w:tc>
          <w:tcPr>
            <w:tcW w:type="dxa" w:w="2835"/>
            <w:vAlign w:val="center"/>
          </w:tcPr>
          <w:p>
            <w:pPr>
              <w:keepNext/>
              <w:spacing w:before="20" w:after="20"/>
            </w:pPr>
            <w:r>
              <w:rPr>
                <w:rFonts w:ascii="游ゴシック" w:hAnsi="游ゴシック" w:eastAsia="游ゴシック"/>
                <w:b w:val="0"/>
                <w:i w:val="0"/>
                <w:sz w:val="17"/>
              </w:rPr>
              <w:t>20歳到達を「特別児童扶養手当から障害基礎年金へ切り替わる」とする記述</w:t>
            </w:r>
          </w:p>
        </w:tc>
        <w:tc>
          <w:tcPr>
            <w:tcW w:type="dxa" w:w="1928"/>
            <w:vAlign w:val="center"/>
          </w:tcPr>
          <w:p>
            <w:pPr>
              <w:keepNext/>
              <w:spacing w:before="20" w:after="20"/>
            </w:pPr>
            <w:r>
              <w:rPr>
                <w:rFonts w:ascii="游ゴシック" w:hAnsi="游ゴシック" w:eastAsia="游ゴシック"/>
                <w:b w:val="0"/>
                <w:i w:val="0"/>
                <w:sz w:val="17"/>
              </w:rPr>
              <w:t>他素案 第3部第9章1</w:t>
            </w:r>
          </w:p>
        </w:tc>
        <w:tc>
          <w:tcPr>
            <w:tcW w:type="dxa" w:w="4309"/>
            <w:vAlign w:val="center"/>
          </w:tcPr>
          <w:p>
            <w:pPr>
              <w:keepNext/>
              <w:spacing w:before="20" w:after="20"/>
            </w:pPr>
            <w:r>
              <w:rPr>
                <w:rFonts w:ascii="游ゴシック" w:hAnsi="游ゴシック" w:eastAsia="游ゴシック"/>
                <w:b w:val="0"/>
                <w:i w:val="0"/>
                <w:sz w:val="17"/>
              </w:rPr>
              <w:t>受給要件・請求が別であることが伝わる書き方に改める。第9章1（1）末尾の「同じ人を複数のサービスに重ねて数えない」も同じ趣旨で改める</w:t>
            </w:r>
          </w:p>
        </w:tc>
      </w:tr>
      <w:tr>
        <w:tc>
          <w:tcPr>
            <w:tcW w:type="dxa" w:w="680"/>
            <w:vAlign w:val="center"/>
          </w:tcPr>
          <w:p>
            <w:pPr>
              <w:spacing w:before="20" w:after="20"/>
            </w:pPr>
            <w:r>
              <w:rPr>
                <w:rFonts w:ascii="游ゴシック" w:hAnsi="游ゴシック" w:eastAsia="游ゴシック"/>
                <w:b w:val="0"/>
                <w:i w:val="0"/>
                <w:sz w:val="17"/>
              </w:rPr>
              <w:t>1-3</w:t>
            </w:r>
          </w:p>
        </w:tc>
        <w:tc>
          <w:tcPr>
            <w:tcW w:type="dxa" w:w="2835"/>
            <w:vAlign w:val="center"/>
          </w:tcPr>
          <w:p>
            <w:pPr>
              <w:spacing w:before="20" w:after="20"/>
            </w:pPr>
            <w:r>
              <w:rPr>
                <w:rFonts w:ascii="游ゴシック" w:hAnsi="游ゴシック" w:eastAsia="游ゴシック"/>
                <w:b w:val="0"/>
                <w:i w:val="0"/>
                <w:sz w:val="17"/>
              </w:rPr>
              <w:t>そのほかの要確認（重度障がい者の内数、給付費の推移等）</w:t>
            </w:r>
          </w:p>
        </w:tc>
        <w:tc>
          <w:tcPr>
            <w:tcW w:type="dxa" w:w="1928"/>
            <w:vAlign w:val="center"/>
          </w:tcPr>
          <w:p>
            <w:pPr>
              <w:spacing w:before="20" w:after="20"/>
            </w:pPr>
            <w:r>
              <w:rPr>
                <w:rFonts w:ascii="游ゴシック" w:hAnsi="游ゴシック" w:eastAsia="游ゴシック"/>
                <w:b w:val="0"/>
                <w:i w:val="0"/>
                <w:sz w:val="17"/>
              </w:rPr>
              <w:t>町</w:t>
            </w:r>
          </w:p>
        </w:tc>
        <w:tc>
          <w:tcPr>
            <w:tcW w:type="dxa" w:w="4309"/>
            <w:vAlign w:val="center"/>
          </w:tcPr>
          <w:p>
            <w:pPr>
              <w:spacing w:before="20" w:after="20"/>
            </w:pPr>
            <w:r>
              <w:rPr>
                <w:rFonts w:ascii="游ゴシック" w:hAnsi="游ゴシック" w:eastAsia="游ゴシック"/>
                <w:b w:val="0"/>
                <w:i w:val="0"/>
                <w:sz w:val="17"/>
              </w:rPr>
              <w:t>町データ待ち。当方の確認事項一覧と突き合わせて重複を除く</w:t>
            </w:r>
          </w:p>
        </w:tc>
      </w:tr>
    </w:tbl>
    <w:p>
      <w:pPr>
        <w:spacing w:after="40"/>
      </w:pPr>
    </w:p>
    <w:p>
      <w:pPr>
        <w:pStyle w:val="Heading1"/>
        <w:keepNext/>
        <w:spacing w:before="240" w:after="100"/>
      </w:pPr>
      <w:bookmarkStart w:id="112" w:name="_Toc_012"/>
      <w:r>
        <w:rPr>
          <w:rFonts w:ascii="游ゴシック" w:hAnsi="游ゴシック" w:eastAsia="游ゴシック"/>
          <w:b/>
          <w:i w:val="0"/>
          <w:color w:val="2E74B5"/>
          <w:sz w:val="30"/>
        </w:rPr>
        <w:t>7　あわせてお伝えすること</w:t>
      </w:r>
      <w:bookmarkEnd w:id="112"/>
    </w:p>
    <w:p>
      <w:pPr>
        <w:spacing w:before="60" w:after="60"/>
      </w:pPr>
      <w:r>
        <w:rPr>
          <w:rFonts w:ascii="游ゴシック" w:hAnsi="游ゴシック" w:eastAsia="游ゴシック"/>
          <w:b/>
          <w:i w:val="0"/>
          <w:sz w:val="21"/>
        </w:rPr>
        <w:t>他素案のワークシート「加筆対照表（R8.10）」に、他の団体の名称が17か所、「加筆データ（R8.10）」に1か所あります。</w:t>
      </w:r>
      <w:r>
        <w:rPr>
          <w:rFonts w:ascii="游ゴシック" w:hAnsi="游ゴシック" w:eastAsia="游ゴシック"/>
          <w:b w:val="0"/>
          <w:i w:val="0"/>
          <w:sz w:val="21"/>
        </w:rPr>
        <w:t xml:space="preserve"> 根拠の列が他の団体の計画の参考箇所になっています。</w:t>
      </w:r>
      <w:r>
        <w:rPr>
          <w:rFonts w:ascii="游ゴシック" w:hAnsi="游ゴシック" w:eastAsia="游ゴシック"/>
          <w:b/>
          <w:i w:val="0"/>
          <w:sz w:val="21"/>
        </w:rPr>
        <w:t>他の団体の資料は成果品に用いず、方法を参考にする場合も団体名を出さない</w:t>
      </w:r>
      <w:r>
        <w:rPr>
          <w:rFonts w:ascii="游ゴシック" w:hAnsi="游ゴシック" w:eastAsia="游ゴシック"/>
          <w:b w:val="0"/>
          <w:i w:val="0"/>
          <w:sz w:val="21"/>
        </w:rPr>
        <w:t>とのご方針に照らし、このワークシートを町に出す場合は、該当の列を外すか団体名を伏せる必要があります。計画書の本文には出てきません。</w:t>
      </w:r>
    </w:p>
    <w:p>
      <w:pPr>
        <w:pStyle w:val="Heading1"/>
        <w:keepNext/>
        <w:spacing w:before="240" w:after="100"/>
      </w:pPr>
      <w:bookmarkStart w:id="113" w:name="_Toc_013"/>
      <w:r>
        <w:rPr>
          <w:rFonts w:ascii="游ゴシック" w:hAnsi="游ゴシック" w:eastAsia="游ゴシック"/>
          <w:b/>
          <w:i w:val="0"/>
          <w:color w:val="2E74B5"/>
          <w:sz w:val="30"/>
        </w:rPr>
        <w:t>8　反映の手順（案）</w:t>
      </w:r>
      <w:bookmarkEnd w:id="113"/>
    </w:p>
    <w:p>
      <w:pPr>
        <w:spacing w:before="40" w:after="40"/>
        <w:ind w:left="227"/>
      </w:pPr>
      <w:r>
        <w:rPr>
          <w:rFonts w:ascii="游ゴシック" w:hAnsi="游ゴシック" w:eastAsia="游ゴシック"/>
          <w:b w:val="0"/>
          <w:i w:val="0"/>
          <w:sz w:val="21"/>
        </w:rPr>
        <w:t>・本書の対応表をご確認いただき、扱い・優先を確定する</w:t>
      </w:r>
    </w:p>
    <w:p>
      <w:pPr>
        <w:spacing w:before="40" w:after="40"/>
        <w:ind w:left="227"/>
      </w:pPr>
      <w:r>
        <w:rPr>
          <w:rFonts w:ascii="游ゴシック" w:hAnsi="游ゴシック" w:eastAsia="游ゴシック"/>
          <w:b w:val="0"/>
          <w:i w:val="0"/>
          <w:sz w:val="21"/>
        </w:rPr>
        <w:t>・優先「高」の9件（№11・13・14・16・19・22・23・24・25）から他素案に反映する。Wordは変更履歴を付けて編集し、他メンバーが差分を追えるようにする</w:t>
      </w:r>
    </w:p>
    <w:p>
      <w:pPr>
        <w:spacing w:before="40" w:after="40"/>
        <w:ind w:left="227"/>
      </w:pPr>
      <w:r>
        <w:rPr>
          <w:rFonts w:ascii="游ゴシック" w:hAnsi="游ゴシック" w:eastAsia="游ゴシック"/>
          <w:b w:val="0"/>
          <w:i w:val="0"/>
          <w:sz w:val="21"/>
        </w:rPr>
        <w:t>・反映後の他素案に、当方の点検（法定記載事項・条文の原典確認・両計画の接点の同一文言）をかける</w:t>
      </w:r>
    </w:p>
    <w:p>
      <w:pPr>
        <w:spacing w:before="40" w:after="40"/>
        <w:ind w:left="227"/>
      </w:pPr>
      <w:r>
        <w:rPr>
          <w:rFonts w:ascii="游ゴシック" w:hAnsi="游ゴシック" w:eastAsia="游ゴシック"/>
          <w:b w:val="0"/>
          <w:i w:val="0"/>
          <w:sz w:val="21"/>
        </w:rPr>
        <w:t>・レビューMDの指摘のうち当方素案以外のもの（6章）、とくに1-1の今期調査の反映を進める</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他素案への追加候補の対応表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他素案への追加候補の対応表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他素案への追加候補の対応表</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