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112</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国の認知症施策推進基本計画は令和6年12月3日に閣議決定されており、第1期の計画期間中に達成すべき重点目標として4件を掲げています。同法第13条第1項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20" w:line="269" w:lineRule="auto"/>
        <w:jc w:val="right"/>
      </w:pPr>
      <w:r>
        <w:rPr>
          <w:rFonts w:ascii="游ゴシック" w:hAnsi="游ゴシック" w:eastAsia="游ゴシック"/>
          <w:b w:val="0"/>
          <w:sz w:val="17"/>
        </w:rPr>
        <w:t>認知症施策推進基本計画（令和6年12月）の重点目標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361"/>
            <w:shd w:val="clear" w:color="auto" w:fill="DCE6F1"/>
          </w:tcPr>
          <w:p>
            <w:pPr>
              <w:spacing w:before="0"/>
              <w:jc w:val="center"/>
            </w:pPr>
            <w:r/>
            <w:r>
              <w:rPr>
                <w:rFonts w:ascii="游ゴシック" w:hAnsi="游ゴシック" w:eastAsia="游ゴシック"/>
                <w:b/>
                <w:sz w:val="17"/>
              </w:rPr>
            </w:r>
          </w:p>
        </w:tc>
        <w:tc>
          <w:tcPr>
            <w:tcW w:type="dxa" w:w="6803"/>
            <w:shd w:val="clear" w:color="auto" w:fill="DCE6F1"/>
          </w:tcPr>
          <w:p>
            <w:pPr>
              <w:jc w:val="center"/>
            </w:pPr>
            <w:r/>
            <w:r>
              <w:rPr>
                <w:rFonts w:ascii="游ゴシック" w:hAnsi="游ゴシック" w:eastAsia="游ゴシック"/>
                <w:b/>
                <w:sz w:val="17"/>
              </w:rPr>
              <w:t>重点目標</w:t>
            </w:r>
          </w:p>
        </w:tc>
      </w:tr>
      <w:tr>
        <w:trPr>
          <w:cantSplit/>
        </w:trPr>
        <w:tc>
          <w:tcPr>
            <w:tcW w:type="dxa" w:w="1361"/>
          </w:tcPr>
          <w:p>
            <w:r/>
            <w:r>
              <w:rPr>
                <w:rFonts w:ascii="游ゴシック" w:hAnsi="游ゴシック" w:eastAsia="游ゴシック"/>
                <w:sz w:val="17"/>
              </w:rPr>
              <w:t>重点目標1</w:t>
            </w:r>
          </w:p>
        </w:tc>
        <w:tc>
          <w:tcPr>
            <w:tcW w:type="dxa" w:w="6803"/>
          </w:tcPr>
          <w:p>
            <w:r/>
            <w:r>
              <w:rPr>
                <w:rFonts w:ascii="游ゴシック" w:hAnsi="游ゴシック" w:eastAsia="游ゴシック"/>
                <w:sz w:val="17"/>
              </w:rPr>
              <w:t>国民一人一人が「新しい認知症観」を理解していること</w:t>
            </w:r>
          </w:p>
        </w:tc>
      </w:tr>
      <w:tr>
        <w:trPr>
          <w:cantSplit/>
        </w:trPr>
        <w:tc>
          <w:tcPr>
            <w:tcW w:type="dxa" w:w="1361"/>
          </w:tcPr>
          <w:p>
            <w:r/>
            <w:r>
              <w:rPr>
                <w:rFonts w:ascii="游ゴシック" w:hAnsi="游ゴシック" w:eastAsia="游ゴシック"/>
                <w:sz w:val="17"/>
              </w:rPr>
              <w:t>重点目標2</w:t>
            </w:r>
          </w:p>
        </w:tc>
        <w:tc>
          <w:tcPr>
            <w:tcW w:type="dxa" w:w="6803"/>
          </w:tcPr>
          <w:p>
            <w:r/>
            <w:r>
              <w:rPr>
                <w:rFonts w:ascii="游ゴシック" w:hAnsi="游ゴシック" w:eastAsia="游ゴシック"/>
                <w:sz w:val="17"/>
              </w:rPr>
              <w:t>認知症の人の生活においてその意思等が尊重されていること</w:t>
            </w:r>
          </w:p>
        </w:tc>
      </w:tr>
      <w:tr>
        <w:trPr>
          <w:cantSplit/>
        </w:trPr>
        <w:tc>
          <w:tcPr>
            <w:tcW w:type="dxa" w:w="1361"/>
          </w:tcPr>
          <w:p>
            <w:r/>
            <w:r>
              <w:rPr>
                <w:rFonts w:ascii="游ゴシック" w:hAnsi="游ゴシック" w:eastAsia="游ゴシック"/>
                <w:sz w:val="17"/>
              </w:rPr>
              <w:t>重点目標3</w:t>
            </w:r>
          </w:p>
        </w:tc>
        <w:tc>
          <w:tcPr>
            <w:tcW w:type="dxa" w:w="6803"/>
          </w:tcPr>
          <w:p>
            <w:r/>
            <w:r>
              <w:rPr>
                <w:rFonts w:ascii="游ゴシック" w:hAnsi="游ゴシック" w:eastAsia="游ゴシック"/>
                <w:sz w:val="17"/>
              </w:rPr>
              <w:t>認知症の人・家族等が他の人々と支え合いながら地域で安心して暮らすことができること</w:t>
            </w:r>
          </w:p>
        </w:tc>
      </w:tr>
      <w:tr>
        <w:trPr>
          <w:cantSplit/>
        </w:trPr>
        <w:tc>
          <w:tcPr>
            <w:tcW w:type="dxa" w:w="1361"/>
          </w:tcPr>
          <w:p>
            <w:r/>
            <w:r>
              <w:rPr>
                <w:rFonts w:ascii="游ゴシック" w:hAnsi="游ゴシック" w:eastAsia="游ゴシック"/>
                <w:sz w:val="17"/>
              </w:rPr>
              <w:t>重点目標4</w:t>
            </w:r>
          </w:p>
        </w:tc>
        <w:tc>
          <w:tcPr>
            <w:tcW w:type="dxa" w:w="6803"/>
          </w:tcPr>
          <w:p>
            <w:r/>
            <w:r>
              <w:rPr>
                <w:rFonts w:ascii="游ゴシック" w:hAnsi="游ゴシック" w:eastAsia="游ゴシック"/>
                <w:sz w:val="17"/>
              </w:rPr>
              <w:t>国民が認知症に関する新たな知見や技術を活用できること</w:t>
            </w:r>
          </w:p>
        </w:tc>
      </w:tr>
    </w:tbl>
    <w:p>
      <w:pPr>
        <w:spacing w:after="160" w:line="269" w:lineRule="auto"/>
        <w:jc w:val="right"/>
      </w:pPr>
      <w:r>
        <w:rPr>
          <w:rFonts w:ascii="游ゴシック" w:hAnsi="游ゴシック" w:eastAsia="游ゴシック"/>
          <w:b w:val="0"/>
          <w:sz w:val="17"/>
        </w:rPr>
        <w:t>資料：厚生労働省「認知症施策推進基本計画」（令和6年12月）</w:t>
      </w:r>
    </w:p>
    <w:p>
      <w:pPr>
        <w:spacing w:after="80" w:line="269" w:lineRule="auto"/>
      </w:pPr>
      <w:r>
        <w:rPr>
          <w:rFonts w:ascii="游ゴシック" w:hAnsi="游ゴシック" w:eastAsia="游ゴシック"/>
          <w:b w:val="0"/>
          <w:sz w:val="20"/>
        </w:rPr>
        <w:t>国の認知症施策推進基本計画は、市町村計画に定める内容が介護保険事業計画等の既存の行政計画に定める内容と重複する場合に、これらを一体のものとして策定することは差し支えないものとするなど、必要に応じて柔軟に運用できることとしています。また、市町村が市町村計画を介護保険事業計画等と一体のものとして策定する際に、複数の市町村による広域の計画が策定される可能性があることから、市町村間の連携が進むよう国及び都道府県が必要な支援を行うものとしています。したがって、構成3町が共同して市町村計画を定め、本計画と一体のものとする進め方も考えられます。本計画は、上記のとおり3町がそれぞれ策定することを前提としていますが、いずれの進め方によるかは構成3町と協議して定めます［要協議］。</w:t>
      </w:r>
    </w:p>
    <w:p>
      <w:pPr>
        <w:spacing w:after="80" w:line="269" w:lineRule="auto"/>
      </w:pPr>
      <w:r>
        <w:rPr>
          <w:rFonts w:ascii="游ゴシック" w:hAnsi="游ゴシック" w:eastAsia="游ゴシック"/>
          <w:b w:val="0"/>
          <w:sz w:val="20"/>
        </w:rPr>
        <w:t>認知症基本法第13条第2項により、市町村認知症施策推進計画は、市町村地域福祉計画（社会福祉法第107条第1項）、市町村老人福祉計画（老人福祉法第20条の8第1項）、市町村介護保険事業計画（介護保険法第117条第1項）その他の法令の規定による計画であって認知症施策に関連する事項を定めるものと調和が保たれたものでなければならないこととされています。また、同条第3項により同法第12条第3項から第7項までが準用され、計画を定め又は変更しようとするときは、あらかじめ認知症の人及びその家族等の意見を聴くよう努めるものとされ、公表、実施状況の評価及び少なくとも5年ごとの検討についても努力義務が課されます。国の認知症施策推進基本計画は、意見を聴く相手として、認知症の人及び家族等のほか、保健医療サービス及び福祉サービスを提供する者、公共交通事業者等、金融機関、小売業者その他の日常生活及び社会生活を営む基盤となるサービスを提供する事業者、学識経験を有する者、地域住民その他の関係者からも広く意見を聴くことが望ましいとしています。意見の聴取の主体、方法及び時期は構成3町と調整のうえ定めます［要協議］。</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認知症基本法、老人福祉法、成年後見制度の利用の促進に関する法律及び高齢者虐待の防止、高齢者の養護者に対する支援等に関する法律の各条項は、法令の本文により確認したものです。社会福祉法等の一部を改正する法律（令和8年法律第51号）による改正後の条項は、新旧対照条文により確認した範囲で項番号を記載し、確認できていないものは条番号のみを記載しています［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国の認知症施策推進基本計画（令和6年12月3日 閣議決定）は、基本的施策12項、重点目標4件を掲げており、本計画の認知症施策との対応は第5章 基本目標2に示します（第2節）。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6781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67810"/>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＋1.97</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1.97％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59657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69959"/>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69959"/>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586623"/>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586623"/>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294644"/>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29464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698738"/>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69873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59420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59420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698738"/>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69873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18470"/>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1847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04140"/>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041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1814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1814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44177"/>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441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42020"/>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4202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07252"/>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07252"/>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53456"/>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5345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【事業所ごとの定員と従事者の5か年の推移】</w:t>
      </w:r>
    </w:p>
    <w:p>
      <w:pPr>
        <w:spacing w:after="80" w:line="269" w:lineRule="auto"/>
      </w:pPr>
      <w:r>
        <w:rPr>
          <w:rFonts w:ascii="游ゴシック" w:hAnsi="游ゴシック" w:eastAsia="游ゴシック"/>
          <w:b w:val="0"/>
          <w:sz w:val="20"/>
        </w:rPr>
        <w:t>区域内の事業所ごとの定員、利用者数及び従事者数について、令和3年から令和7年までの5か年の推移を確かめました。対象となるのは構成3町の60事業所です。施設・居住系サービスの定員は、特定施設入居者生活介護の2事業所を除き5か年を通じて変わっていません。利用者数が5年続けて前年を下回る事業所は0事業所です。一方、介護職員の常勤換算数が令和3年から令和7年までに2割以上減った事業所が11事業所あり、うち3事業所が訪問介護で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288"/>
            <w:shd w:val="clear" w:color="auto" w:fill="DCE6F1"/>
          </w:tcPr>
          <w:p>
            <w:pPr>
              <w:spacing w:before="0"/>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事業所数</w:t>
            </w:r>
          </w:p>
        </w:tc>
        <w:tc>
          <w:tcPr>
            <w:tcW w:type="dxa" w:w="1701"/>
            <w:shd w:val="clear" w:color="auto" w:fill="DCE6F1"/>
          </w:tcPr>
          <w:p>
            <w:pPr>
              <w:jc w:val="center"/>
            </w:pPr>
            <w:r/>
            <w:r>
              <w:rPr>
                <w:rFonts w:ascii="游ゴシック" w:hAnsi="游ゴシック" w:eastAsia="游ゴシック"/>
                <w:b/>
                <w:sz w:val="17"/>
              </w:rPr>
              <w:t>定員（令和7年）</w:t>
            </w:r>
          </w:p>
        </w:tc>
        <w:tc>
          <w:tcPr>
            <w:tcW w:type="dxa" w:w="3628"/>
            <w:shd w:val="clear" w:color="auto" w:fill="DCE6F1"/>
          </w:tcPr>
          <w:p>
            <w:pPr>
              <w:jc w:val="center"/>
            </w:pPr>
            <w:r/>
            <w:r>
              <w:rPr>
                <w:rFonts w:ascii="游ゴシック" w:hAnsi="游ゴシック" w:eastAsia="游ゴシック"/>
                <w:b/>
                <w:sz w:val="17"/>
              </w:rPr>
              <w:t>5か年の動き</w:t>
            </w:r>
          </w:p>
        </w:tc>
      </w:tr>
      <w:tr>
        <w:trPr>
          <w:cantSplit/>
        </w:trPr>
        <w:tc>
          <w:tcPr>
            <w:tcW w:type="dxa" w:w="3288"/>
          </w:tcPr>
          <w:p>
            <w:r/>
            <w:r>
              <w:rPr>
                <w:rFonts w:ascii="游ゴシック" w:hAnsi="游ゴシック" w:eastAsia="游ゴシック"/>
                <w:sz w:val="17"/>
              </w:rPr>
              <w:t>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158</w:t>
            </w:r>
          </w:p>
        </w:tc>
        <w:tc>
          <w:tcPr>
            <w:tcW w:type="dxa" w:w="3628"/>
          </w:tcPr>
          <w:p>
            <w:r/>
            <w:r>
              <w:rPr>
                <w:rFonts w:ascii="游ゴシック" w:hAnsi="游ゴシック" w:eastAsia="游ゴシック"/>
                <w:sz w:val="17"/>
              </w:rPr>
              <w:t>定員が動いた事業所がある</w:t>
            </w:r>
          </w:p>
        </w:tc>
      </w:tr>
      <w:tr>
        <w:trPr>
          <w:cantSplit/>
        </w:trPr>
        <w:tc>
          <w:tcPr>
            <w:tcW w:type="dxa" w:w="3288"/>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5</w:t>
            </w:r>
          </w:p>
        </w:tc>
        <w:tc>
          <w:tcPr>
            <w:tcW w:type="dxa" w:w="1701"/>
          </w:tcPr>
          <w:p>
            <w:r/>
            <w:r>
              <w:rPr>
                <w:rFonts w:ascii="游ゴシック" w:hAnsi="游ゴシック" w:eastAsia="游ゴシック"/>
                <w:sz w:val="17"/>
              </w:rPr>
              <w:t>81</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45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通所リハビリテーション</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95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35</w:t>
            </w:r>
          </w:p>
        </w:tc>
        <w:tc>
          <w:tcPr>
            <w:tcW w:type="dxa" w:w="3628"/>
          </w:tcPr>
          <w:p>
            <w:r/>
            <w:r>
              <w:rPr>
                <w:rFonts w:ascii="游ゴシック" w:hAnsi="游ゴシック" w:eastAsia="游ゴシック"/>
                <w:sz w:val="17"/>
              </w:rPr>
              <w:t>定員が動いた事業所がある</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80" w:line="269" w:lineRule="auto"/>
      </w:pPr>
      <w:r>
        <w:rPr>
          <w:rFonts w:ascii="游ゴシック" w:hAnsi="游ゴシック" w:eastAsia="游ゴシック"/>
          <w:b w:val="0"/>
          <w:sz w:val="20"/>
        </w:rPr>
        <w:t>介護職員の常勤換算数が2割以上減った事業所は次のとおりです。訪問介護は3事業所とも減っています。</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3628"/>
            <w:shd w:val="clear" w:color="auto" w:fill="DCE6F1"/>
          </w:tcPr>
          <w:p>
            <w:pPr>
              <w:jc w:val="center"/>
            </w:pPr>
            <w:r/>
            <w:r>
              <w:rPr>
                <w:rFonts w:ascii="游ゴシック" w:hAnsi="游ゴシック" w:eastAsia="游ゴシック"/>
                <w:b/>
                <w:sz w:val="17"/>
              </w:rPr>
              <w:t>サービス</w:t>
            </w:r>
          </w:p>
        </w:tc>
        <w:tc>
          <w:tcPr>
            <w:tcW w:type="dxa" w:w="4762"/>
            <w:shd w:val="clear" w:color="auto" w:fill="DCE6F1"/>
          </w:tcPr>
          <w:p>
            <w:pPr>
              <w:jc w:val="center"/>
            </w:pPr>
            <w:r/>
            <w:r>
              <w:rPr>
                <w:rFonts w:ascii="游ゴシック" w:hAnsi="游ゴシック" w:eastAsia="游ゴシック"/>
                <w:b/>
                <w:sz w:val="17"/>
              </w:rPr>
              <w:t>令和3年から令和7年までの変化の割合</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認知症対応型共同生活介護</w:t>
            </w:r>
          </w:p>
        </w:tc>
        <w:tc>
          <w:tcPr>
            <w:tcW w:type="dxa" w:w="4762"/>
          </w:tcPr>
          <w:p>
            <w:r/>
            <w:r>
              <w:rPr>
                <w:rFonts w:ascii="游ゴシック" w:hAnsi="游ゴシック" w:eastAsia="游ゴシック"/>
                <w:sz w:val="17"/>
              </w:rPr>
              <w:t>▲100.0％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▲75.0％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▲60.0％</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地域密着型通所介護</w:t>
            </w:r>
          </w:p>
        </w:tc>
        <w:tc>
          <w:tcPr>
            <w:tcW w:type="dxa" w:w="4762"/>
          </w:tcPr>
          <w:p>
            <w:r/>
            <w:r>
              <w:rPr>
                <w:rFonts w:ascii="游ゴシック" w:hAnsi="游ゴシック" w:eastAsia="游ゴシック"/>
                <w:sz w:val="17"/>
              </w:rPr>
              <w:t>▲57.1％</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通所リハビリテーション</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短期入所療養介護（老健）</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介護老人保健施設</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地域密着型介護老人福祉施設</w:t>
            </w:r>
          </w:p>
        </w:tc>
        <w:tc>
          <w:tcPr>
            <w:tcW w:type="dxa" w:w="4762"/>
          </w:tcPr>
          <w:p>
            <w:r/>
            <w:r>
              <w:rPr>
                <w:rFonts w:ascii="游ゴシック" w:hAnsi="游ゴシック" w:eastAsia="游ゴシック"/>
                <w:sz w:val="17"/>
              </w:rPr>
              <w:t>▲44.4％</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介護老人福祉施設</w:t>
            </w:r>
          </w:p>
        </w:tc>
        <w:tc>
          <w:tcPr>
            <w:tcW w:type="dxa" w:w="4762"/>
          </w:tcPr>
          <w:p>
            <w:r/>
            <w:r>
              <w:rPr>
                <w:rFonts w:ascii="游ゴシック" w:hAnsi="游ゴシック" w:eastAsia="游ゴシック"/>
                <w:sz w:val="17"/>
              </w:rPr>
              <w:t>▲37.5％</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小規模多機能型居宅介護</w:t>
            </w:r>
          </w:p>
        </w:tc>
        <w:tc>
          <w:tcPr>
            <w:tcW w:type="dxa" w:w="4762"/>
          </w:tcPr>
          <w:p>
            <w:r/>
            <w:r>
              <w:rPr>
                <w:rFonts w:ascii="游ゴシック" w:hAnsi="游ゴシック" w:eastAsia="游ゴシック"/>
                <w:sz w:val="17"/>
              </w:rPr>
              <w:t>▲33.3％</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▲20.0％</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160" w:line="269" w:lineRule="auto"/>
      </w:pPr>
      <w:r>
        <w:rPr>
          <w:rFonts w:ascii="游ゴシック" w:hAnsi="游ゴシック" w:eastAsia="游ゴシック"/>
          <w:b w:val="0"/>
          <w:sz w:val="17"/>
        </w:rPr>
        <w:t>定員及び従事者数は介護サービス情報公表システム（各年9月時点）、利用者数は介護保険総合データベース（各年9月サービス分）によります。対象は最新年度の9月サービス分の算定実績のある事業所に限られ、介護予防給付のみの事業所は対象外であるため、区域内のすべての事業所を覆うものではありません。認知症対応型共同生活介護は5事業所・定員81人が掲げられており、第3節6に掲げる区域内の定員（北海道の名簿による）とは1事業所分の差があります［要確認］。従事者数は事業所が公表した時点の値であり、記入のない年があるものを含み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04047"/>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04047"/>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14117"/>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14117"/>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5209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520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量の見込みと同じ伸び（介護予防・日常生活支援総合事業費は認定者数、そのほかは第1号被保険者数）により算定しています。令和7年度の事業ごとの実績及び令和9年度に創設される事業の費用の額が定まった時点で改め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09464"/>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09464"/>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36944"/>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36944"/>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3160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31601"/>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57696"/>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5769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5307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5307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国の認知症施策推進基本計画（令和6年12月3日 閣議決定）が掲げる重点目標4件との対応を確かめ、同計画が示す指標の3つの観点（プロセス指標・アウトプット指標・アウトカム指標）に沿って本計画の指標を整理します。同計画は、認知症施策推進計画には介護保険の給付及び地域支援事業に位置づけられた事業以外にも広範な施策が位置づけられる必要があるとしており、本計画が扱う範囲は介護保険の事業に限られます。交通、金融、小売、教育その他の分野にわたる施策は構成3町が策定する市町村認知症施策推進計画において定めます［要協議］。</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なお、地域包括ケア「見える化」システムの将来推計機能は、令和6年度を年報、令和7年度以降を月報により置き、令和7年度は報告月で令和7年5月から令和8年4月まで（令和7年3月サービス分から令和8年2月サービス分まで）の12か月、令和8年度は令和8年5月報告（令和8年3月サービス分）以降の累計から実績見込みを算定します。本計画の算定とは対象とする月が異なるため、同システムの出力と本表の値は一致し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量の見込みと同じ伸び（介護予防・日常生活支援総合事業費は認定者数、そのほかは第1号被保険者数）により算定しています。第10期（令和9年度から令和11年度まで）は令和6年度決算の水準を据え置いています。令和7年度の事業ごとの実績及び特定地域居宅サービス等事業その他の令和9年度に創設される事業の費用の額が定まった時点で改め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なお、地域包括ケア「見える化」システムの将来推計機能に入力する地域支援事業費は、総事業費から寄付金その他の収入額を差し引いた額のうち、交付金対象経費として支出する見込みの額（対象経費支出予定額）とされています。本計画の額は決算額を基礎としており、寄付金その他の収入額を差し引いていない点で範囲が異なります。事業別の積上げによる算定に置き直す際に、この範囲に合わせて整理し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39943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39943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69507"/>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69507"/>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3958555"/>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395855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294110"/>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294110"/>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認定率の置き方</w:t>
            </w:r>
          </w:p>
        </w:tc>
        <w:tc>
          <w:tcPr>
            <w:tcW w:type="dxa" w:w="2268"/>
          </w:tcPr>
          <w:p>
            <w:r/>
            <w:r>
              <w:rPr>
                <w:rFonts w:ascii="游ゴシック" w:hAnsi="游ゴシック" w:eastAsia="游ゴシック"/>
                <w:sz w:val="17"/>
              </w:rPr>
              <w:t>②トレンド継続（第1節）</w:t>
            </w:r>
          </w:p>
        </w:tc>
        <w:tc>
          <w:tcPr>
            <w:tcW w:type="dxa" w:w="2721"/>
          </w:tcPr>
          <w:p>
            <w:r/>
            <w:r>
              <w:rPr>
                <w:rFonts w:ascii="游ゴシック" w:hAnsi="游ゴシック" w:eastAsia="游ゴシック"/>
                <w:sz w:val="17"/>
              </w:rPr>
              <w:t>①現状固定</w:t>
            </w:r>
          </w:p>
        </w:tc>
        <w:tc>
          <w:tcPr>
            <w:tcW w:type="dxa" w:w="1134"/>
          </w:tcPr>
          <w:p>
            <w:r/>
            <w:r>
              <w:rPr>
                <w:rFonts w:ascii="游ゴシック" w:hAnsi="游ゴシック" w:eastAsia="游ゴシック"/>
                <w:sz w:val="17"/>
              </w:rPr>
              <w:t>6,523円</w:t>
            </w:r>
          </w:p>
        </w:tc>
        <w:tc>
          <w:tcPr>
            <w:tcW w:type="dxa" w:w="1134"/>
          </w:tcPr>
          <w:p>
            <w:r/>
            <w:r>
              <w:rPr>
                <w:rFonts w:ascii="游ゴシック" w:hAnsi="游ゴシック" w:eastAsia="游ゴシック"/>
                <w:sz w:val="17"/>
              </w:rPr>
              <w:t>＋85円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③令和元年水準</w:t>
            </w:r>
          </w:p>
        </w:tc>
        <w:tc>
          <w:tcPr>
            <w:tcW w:type="dxa" w:w="1134"/>
          </w:tcPr>
          <w:p>
            <w:r/>
            <w:r>
              <w:rPr>
                <w:rFonts w:ascii="游ゴシック" w:hAnsi="游ゴシック" w:eastAsia="游ゴシック"/>
                <w:sz w:val="17"/>
              </w:rPr>
              <w:t>6,672円</w:t>
            </w:r>
          </w:p>
        </w:tc>
        <w:tc>
          <w:tcPr>
            <w:tcW w:type="dxa" w:w="1134"/>
          </w:tcPr>
          <w:p>
            <w:r/>
            <w:r>
              <w:rPr>
                <w:rFonts w:ascii="游ゴシック" w:hAnsi="游ゴシック" w:eastAsia="游ゴシック"/>
                <w:sz w:val="17"/>
              </w:rPr>
              <w:t>＋234円</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認定率の置き方は、第1節のとおり3つを算定しており、本計画は②トレンド継続によっています。①現状固定とした場合は月額＋85円、③令和元年水準とした場合は月額＋234円であり、保険料基準額は①6,500円・②6,400円・③6,700円に分かれます。②は3つのうち最も低く出る置き方です［要協議］。</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