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令和8年9月の制度の動向（第5節）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地域の課題（第6節）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ご決定をお願いする事項　31件（第7節）</w:t>
            </w:r>
          </w:p>
        </w:tc>
      </w:tr>
      <w:tr>
        <w:trPr>
          <w:cantSplit/>
        </w:trPr>
        <w:tc>
          <w:tcPr>
            <w:tcW w:type="dxa" w:w="1474"/>
            <w:vAlign w:val="center"/>
          </w:tcPr>
          <w:p>
            <w:pPr>
              <w:keepNext/>
              <w:spacing w:after="0"/>
              <w:jc w:val="center"/>
            </w:pPr>
            <w:r>
              <w:rPr>
                <w:rFonts w:ascii="游ゴシック" w:hAnsi="游ゴシック" w:eastAsia="游ゴシック"/>
                <w:b/>
                <w:sz w:val="18"/>
              </w:rPr>
              <w:t>6</w:t>
            </w:r>
          </w:p>
        </w:tc>
        <w:tc>
          <w:tcPr>
            <w:tcW w:type="dxa" w:w="8277"/>
            <w:vAlign w:val="center"/>
          </w:tcPr>
          <w:p>
            <w:pPr>
              <w:keepNext/>
              <w:spacing w:after="0"/>
            </w:pPr>
            <w:r>
              <w:rPr>
                <w:rFonts w:ascii="游ゴシック" w:hAnsi="游ゴシック" w:eastAsia="游ゴシック"/>
                <w:b w:val="0"/>
                <w:sz w:val="18"/>
              </w:rPr>
              <w:t>認知症施策推進計画の扱い（第8節）</w:t>
            </w:r>
          </w:p>
        </w:tc>
      </w:tr>
      <w:tr>
        <w:trPr>
          <w:cantSplit/>
        </w:trPr>
        <w:tc>
          <w:tcPr>
            <w:tcW w:type="dxa" w:w="1474"/>
            <w:shd w:val="clear" w:color="auto" w:fill="F2F5FA"/>
            <w:vAlign w:val="center"/>
          </w:tcPr>
          <w:p>
            <w:pPr>
              <w:spacing w:after="0"/>
              <w:jc w:val="center"/>
            </w:pPr>
            <w:r>
              <w:rPr>
                <w:rFonts w:ascii="游ゴシック" w:hAnsi="游ゴシック" w:eastAsia="游ゴシック"/>
                <w:b/>
                <w:sz w:val="18"/>
              </w:rPr>
              <w:t>7</w:t>
            </w:r>
          </w:p>
        </w:tc>
        <w:tc>
          <w:tcPr>
            <w:tcW w:type="dxa" w:w="8277"/>
            <w:shd w:val="clear" w:color="auto" w:fill="F2F5FA"/>
            <w:vAlign w:val="center"/>
          </w:tcPr>
          <w:p>
            <w:pPr>
              <w:spacing w:after="0"/>
            </w:pPr>
            <w:r>
              <w:rPr>
                <w:rFonts w:ascii="游ゴシック" w:hAnsi="游ゴシック" w:eastAsia="游ゴシック"/>
                <w:b w:val="0"/>
                <w:sz w:val="18"/>
              </w:rPr>
              <w:t>資料のご提供のお願いと今後の進め方（第10節・第11節）</w:t>
            </w:r>
          </w:p>
        </w:tc>
      </w:tr>
    </w:tbl>
    <w:p>
      <w:pPr>
        <w:ind w:left="227"/>
      </w:pPr>
      <w:r>
        <w:rPr>
          <w:rFonts w:ascii="游ゴシック" w:hAnsi="游ゴシック" w:eastAsia="游ゴシック"/>
          <w:b w:val="0"/>
          <w:sz w:val="18"/>
        </w:rPr>
        <w:t>※ 町ごとの個別協議（令和8年10月中旬から下旬）でお伺いする事項は第9節に掲げています。本意見交換会では扱いません。</w:t>
      </w:r>
    </w:p>
    <w:p>
      <w:pPr>
        <w:keepNext/>
        <w:spacing w:before="180" w:after="60"/>
      </w:pPr>
      <w:r>
        <w:rPr>
          <w:rFonts w:ascii="游ゴシック" w:hAnsi="游ゴシック" w:eastAsia="游ゴシック"/>
          <w:b/>
          <w:sz w:val="22"/>
        </w:rPr>
        <w:t>時間配分の案</w:t>
      </w:r>
    </w:p>
    <w:p>
      <w:pPr>
        <w:spacing w:after="80"/>
      </w:pPr>
      <w:r>
        <w:rPr>
          <w:rFonts w:ascii="游ゴシック" w:hAnsi="游ゴシック" w:eastAsia="游ゴシック"/>
          <w:b w:val="0"/>
          <w:sz w:val="20"/>
        </w:rPr>
        <w:t>ご決定をお願いする事項は3町共通で31件ありますが、</w:t>
      </w:r>
      <w:r>
        <w:rPr>
          <w:rFonts w:ascii="游ゴシック" w:hAnsi="游ゴシック" w:eastAsia="游ゴシック"/>
          <w:b/>
          <w:sz w:val="20"/>
        </w:rPr>
        <w:t>この場でご決定をお願いしたいものを4件（A群・計60分）に絞っています。</w:t>
      </w:r>
      <w:r>
        <w:rPr>
          <w:rFonts w:ascii="游ゴシック" w:hAnsi="游ゴシック" w:eastAsia="游ゴシック"/>
          <w:b w:val="0"/>
          <w:sz w:val="20"/>
        </w:rPr>
        <w:t xml:space="preserve"> 時間があればご決定をお願いしたいものをB群（4件・計20分）とし、残る11件（C群）は当方の仮置きのまま第2次概算に進めます。A群・B群の内容は第7節1・2に掲げています。</w:t>
      </w:r>
    </w:p>
    <w:p>
      <w:pPr>
        <w:keepNext/>
        <w:spacing w:before="160" w:after="40"/>
      </w:pPr>
      <w:r>
        <w:rPr>
          <w:rFonts w:ascii="游ゴシック" w:hAnsi="游ゴシック" w:eastAsia="游ゴシック"/>
          <w:b/>
          <w:sz w:val="20"/>
        </w:rPr>
        <w:t>表2　時間配分の案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120分の場合</w:t>
            </w:r>
          </w:p>
        </w:tc>
        <w:tc>
          <w:tcPr>
            <w:tcW w:type="dxa" w:w="1417"/>
            <w:shd w:val="clear" w:color="auto" w:fill="1F3864"/>
            <w:vAlign w:val="center"/>
          </w:tcPr>
          <w:p>
            <w:pPr>
              <w:keepNext/>
              <w:spacing w:after="0"/>
              <w:jc w:val="center"/>
            </w:pPr>
            <w:r>
              <w:rPr>
                <w:rFonts w:ascii="游ゴシック" w:hAnsi="游ゴシック" w:eastAsia="游ゴシック"/>
                <w:b/>
                <w:color w:val="FFFFFF"/>
                <w:sz w:val="18"/>
              </w:rPr>
              <w:t>90分の場合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6236"/>
            <w:vAlign w:val="center"/>
          </w:tcPr>
          <w:p>
            <w:pPr>
              <w:keepNext/>
              <w:spacing w:after="0"/>
            </w:pPr>
            <w:r>
              <w:rPr>
                <w:rFonts w:ascii="游ゴシック" w:hAnsi="游ゴシック" w:eastAsia="游ゴシック"/>
                <w:b w:val="0"/>
                <w:sz w:val="18"/>
              </w:rPr>
              <w:t>冒頭　仮置きによる算定の結果と、低く出る側に寄っていること（第2節・第3節）</w:t>
            </w:r>
          </w:p>
        </w:tc>
        <w:tc>
          <w:tcPr>
            <w:tcW w:type="dxa" w:w="1417"/>
            <w:vAlign w:val="center"/>
          </w:tcPr>
          <w:p>
            <w:pPr>
              <w:keepNext/>
              <w:spacing w:after="0"/>
              <w:jc w:val="center"/>
            </w:pPr>
            <w:r>
              <w:rPr>
                <w:rFonts w:ascii="游ゴシック" w:hAnsi="游ゴシック" w:eastAsia="游ゴシック"/>
                <w:b/>
                <w:sz w:val="18"/>
              </w:rPr>
              <w:t>5分</w:t>
            </w:r>
          </w:p>
        </w:tc>
        <w:tc>
          <w:tcPr>
            <w:tcW w:type="dxa" w:w="1417"/>
            <w:vAlign w:val="center"/>
          </w:tcPr>
          <w:p>
            <w:pPr>
              <w:keepNext/>
              <w:spacing w:after="0"/>
              <w:jc w:val="center"/>
            </w:pPr>
            <w:r>
              <w:rPr>
                <w:rFonts w:ascii="游ゴシック" w:hAnsi="游ゴシック" w:eastAsia="游ゴシック"/>
                <w:b/>
                <w:sz w:val="18"/>
              </w:rPr>
              <w:t>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6236"/>
            <w:shd w:val="clear" w:color="auto" w:fill="F2F5FA"/>
            <w:vAlign w:val="center"/>
          </w:tcPr>
          <w:p>
            <w:pPr>
              <w:keepNext/>
              <w:spacing w:after="0"/>
            </w:pPr>
            <w:r>
              <w:rPr>
                <w:rFonts w:ascii="游ゴシック" w:hAnsi="游ゴシック" w:eastAsia="游ゴシック"/>
                <w:b w:val="0"/>
                <w:sz w:val="18"/>
              </w:rPr>
              <w:t>A群　この場でご決定をお願いしたいもの（4件・第7節1）</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c>
          <w:tcPr>
            <w:tcW w:type="dxa" w:w="1417"/>
            <w:shd w:val="clear" w:color="auto" w:fill="F2F5FA"/>
            <w:vAlign w:val="center"/>
          </w:tcPr>
          <w:p>
            <w:pPr>
              <w:keepNext/>
              <w:spacing w:after="0"/>
              <w:jc w:val="center"/>
            </w:pPr>
            <w:r>
              <w:rPr>
                <w:rFonts w:ascii="游ゴシック" w:hAnsi="游ゴシック" w:eastAsia="游ゴシック"/>
                <w:b/>
                <w:sz w:val="18"/>
              </w:rPr>
              <w:t>60分</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6236"/>
            <w:vAlign w:val="center"/>
          </w:tcPr>
          <w:p>
            <w:pPr>
              <w:keepNext/>
              <w:spacing w:after="0"/>
            </w:pPr>
            <w:r>
              <w:rPr>
                <w:rFonts w:ascii="游ゴシック" w:hAnsi="游ゴシック" w:eastAsia="游ゴシック"/>
                <w:b w:val="0"/>
                <w:sz w:val="18"/>
              </w:rPr>
              <w:t>B群　時間があればご決定をお願いしたいもの（4件・第7節2）</w:t>
            </w:r>
          </w:p>
        </w:tc>
        <w:tc>
          <w:tcPr>
            <w:tcW w:type="dxa" w:w="1417"/>
            <w:vAlign w:val="center"/>
          </w:tcPr>
          <w:p>
            <w:pPr>
              <w:keepNext/>
              <w:spacing w:after="0"/>
              <w:jc w:val="center"/>
            </w:pPr>
            <w:r>
              <w:rPr>
                <w:rFonts w:ascii="游ゴシック" w:hAnsi="游ゴシック" w:eastAsia="游ゴシック"/>
                <w:b/>
                <w:sz w:val="18"/>
              </w:rPr>
              <w:t>20分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4</w:t>
            </w:r>
          </w:p>
        </w:tc>
        <w:tc>
          <w:tcPr>
            <w:tcW w:type="dxa" w:w="6236"/>
            <w:shd w:val="clear" w:color="auto" w:fill="F2F5FA"/>
            <w:vAlign w:val="center"/>
          </w:tcPr>
          <w:p>
            <w:pPr>
              <w:keepNext/>
              <w:spacing w:after="0"/>
            </w:pPr>
            <w:r>
              <w:rPr>
                <w:rFonts w:ascii="游ゴシック" w:hAnsi="游ゴシック" w:eastAsia="游ゴシック"/>
                <w:b w:val="0"/>
                <w:sz w:val="18"/>
              </w:rPr>
              <w:t>地域の課題と、資料のご提供のお願いの確認（第6節・第10節）</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c>
          <w:tcPr>
            <w:tcW w:type="dxa" w:w="141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val="0"/>
                <w:sz w:val="18"/>
              </w:rPr>
              <w:t>5</w:t>
            </w:r>
          </w:p>
        </w:tc>
        <w:tc>
          <w:tcPr>
            <w:tcW w:type="dxa" w:w="6236"/>
            <w:vAlign w:val="center"/>
          </w:tcPr>
          <w:p>
            <w:pPr>
              <w:keepNext/>
              <w:spacing w:after="0"/>
            </w:pPr>
            <w:r>
              <w:rPr>
                <w:rFonts w:ascii="游ゴシック" w:hAnsi="游ゴシック" w:eastAsia="游ゴシック"/>
                <w:b w:val="0"/>
                <w:sz w:val="18"/>
              </w:rPr>
              <w:t>今後の進め方と個別協議の日程（第9節・第11節）</w:t>
            </w:r>
          </w:p>
        </w:tc>
        <w:tc>
          <w:tcPr>
            <w:tcW w:type="dxa" w:w="1417"/>
            <w:vAlign w:val="center"/>
          </w:tcPr>
          <w:p>
            <w:pPr>
              <w:keepNext/>
              <w:spacing w:after="0"/>
              <w:jc w:val="center"/>
            </w:pPr>
            <w:r>
              <w:rPr>
                <w:rFonts w:ascii="游ゴシック" w:hAnsi="游ゴシック" w:eastAsia="游ゴシック"/>
                <w:b/>
                <w:sz w:val="18"/>
              </w:rPr>
              <w:t>15分</w:t>
            </w:r>
          </w:p>
        </w:tc>
        <w:tc>
          <w:tcPr>
            <w:tcW w:type="dxa" w:w="1417"/>
            <w:vAlign w:val="center"/>
          </w:tcPr>
          <w:p>
            <w:pPr>
              <w:keepNext/>
              <w:spacing w:after="0"/>
              <w:jc w:val="center"/>
            </w:pPr>
            <w:r>
              <w:rPr>
                <w:rFonts w:ascii="游ゴシック" w:hAnsi="游ゴシック" w:eastAsia="游ゴシック"/>
                <w:b/>
                <w:sz w:val="18"/>
              </w:rPr>
              <w:t>―</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6</w:t>
            </w:r>
          </w:p>
        </w:tc>
        <w:tc>
          <w:tcPr>
            <w:tcW w:type="dxa" w:w="6236"/>
            <w:shd w:val="clear" w:color="auto" w:fill="F2F5FA"/>
            <w:vAlign w:val="center"/>
          </w:tcPr>
          <w:p>
            <w:pPr>
              <w:keepNext/>
              <w:spacing w:after="0"/>
            </w:pPr>
            <w:r>
              <w:rPr>
                <w:rFonts w:ascii="游ゴシック" w:hAnsi="游ゴシック" w:eastAsia="游ゴシック"/>
                <w:b w:val="0"/>
                <w:sz w:val="18"/>
              </w:rPr>
              <w:t>予備</w:t>
            </w:r>
          </w:p>
        </w:tc>
        <w:tc>
          <w:tcPr>
            <w:tcW w:type="dxa" w:w="1417"/>
            <w:shd w:val="clear" w:color="auto" w:fill="F2F5FA"/>
            <w:vAlign w:val="center"/>
          </w:tcPr>
          <w:p>
            <w:pPr>
              <w:keepNext/>
              <w:spacing w:after="0"/>
              <w:jc w:val="center"/>
            </w:pPr>
            <w:r>
              <w:rPr>
                <w:rFonts w:ascii="游ゴシック" w:hAnsi="游ゴシック" w:eastAsia="游ゴシック"/>
                <w:b/>
                <w:sz w:val="18"/>
              </w:rPr>
              <w:t>5分</w:t>
            </w:r>
          </w:p>
        </w:tc>
        <w:tc>
          <w:tcPr>
            <w:tcW w:type="dxa" w:w="141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val="0"/>
                <w:sz w:val="18"/>
              </w:rPr>
              <w:t>計</w:t>
            </w:r>
          </w:p>
        </w:tc>
        <w:tc>
          <w:tcPr>
            <w:tcW w:type="dxa" w:w="6236"/>
            <w:vAlign w:val="center"/>
          </w:tcPr>
          <w:p>
            <w:pPr>
              <w:spacing w:after="0"/>
            </w:pPr>
            <w:r>
              <w:rPr>
                <w:rFonts w:ascii="游ゴシック" w:hAnsi="游ゴシック" w:eastAsia="游ゴシック"/>
                <w:sz w:val="18"/>
              </w:rPr>
            </w:r>
          </w:p>
        </w:tc>
        <w:tc>
          <w:tcPr>
            <w:tcW w:type="dxa" w:w="1417"/>
            <w:vAlign w:val="center"/>
          </w:tcPr>
          <w:p>
            <w:pPr>
              <w:spacing w:after="0"/>
              <w:jc w:val="center"/>
            </w:pPr>
            <w:r>
              <w:rPr>
                <w:rFonts w:ascii="游ゴシック" w:hAnsi="游ゴシック" w:eastAsia="游ゴシック"/>
                <w:b/>
                <w:sz w:val="18"/>
              </w:rPr>
              <w:t>120分</w:t>
            </w:r>
          </w:p>
        </w:tc>
        <w:tc>
          <w:tcPr>
            <w:tcW w:type="dxa" w:w="1417"/>
            <w:vAlign w:val="center"/>
          </w:tcPr>
          <w:p>
            <w:pPr>
              <w:spacing w:after="0"/>
              <w:jc w:val="center"/>
            </w:pPr>
            <w:r>
              <w:rPr>
                <w:rFonts w:ascii="游ゴシック" w:hAnsi="游ゴシック" w:eastAsia="游ゴシック"/>
                <w:b/>
                <w:sz w:val="18"/>
              </w:rPr>
              <w:t>90分</w:t>
            </w:r>
          </w:p>
        </w:tc>
      </w:tr>
    </w:tbl>
    <w:p>
      <w:pPr>
        <w:ind w:left="227"/>
      </w:pPr>
      <w:r>
        <w:rPr>
          <w:rFonts w:ascii="游ゴシック" w:hAnsi="游ゴシック" w:eastAsia="游ゴシック"/>
          <w:b w:val="0"/>
          <w:sz w:val="18"/>
        </w:rPr>
        <w:t>※ 会の所要は、構成町との協議の進め方（確認事項No.83）により3町合同の意見交換会を120分としてお示ししているものです。90分の場合はB群と今後の進め方を扱わず、いずれも本資料によってご確認いただくこととします。</w:t>
      </w:r>
    </w:p>
    <w:p>
      <w:pPr>
        <w:keepNext/>
        <w:pageBreakBefore w:val="0"/>
        <w:spacing w:before="28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表3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表4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193件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175件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42件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31件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広域連合として決めていただく事項です（第7節）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東川町4件／美瑛町5件／東神楽町2件（第9節）</w:t>
            </w:r>
          </w:p>
        </w:tc>
      </w:tr>
    </w:tbl>
    <w:p>
      <w:pPr>
        <w:spacing w:after="80"/>
      </w:pPr>
      <w:r>
        <w:rPr>
          <w:rFonts w:ascii="游ゴシック" w:hAnsi="游ゴシック" w:eastAsia="游ゴシック"/>
          <w:b w:val="0"/>
          <w:sz w:val="18"/>
        </w:rPr>
        <w:t>※　本表は本意見交換会の時点（令和8年10月1日）の件数です。本意見交換会の後の令和8年10月19日に、ほぼ全ての確認事項について受託者案により作成を進めること、及び10月までの各工程を完了とすることについてご了承をいただきました。これにより173件が受託者案で確定し、うち13件は保険料に関わる国の政令・省令・告示が示された後に再算定します。</w:t>
      </w:r>
    </w:p>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表5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spacing w:after="80"/>
      </w:pPr>
      <w:r>
        <w:rPr>
          <w:rFonts w:ascii="游ゴシック" w:hAnsi="游ゴシック" w:eastAsia="游ゴシック"/>
          <w:b w:val="0"/>
          <w:sz w:val="20"/>
        </w:rPr>
        <w:t>次の4件は、資料の受領を待たずに受託者の側で確定したものです。いずれも令和8年10月1日に確定し、第3節の算定に反映しています。</w:t>
      </w:r>
    </w:p>
    <w:p>
      <w:pPr>
        <w:keepNext/>
        <w:spacing w:before="160" w:after="40"/>
      </w:pPr>
      <w:r>
        <w:rPr>
          <w:rFonts w:ascii="游ゴシック" w:hAnsi="游ゴシック" w:eastAsia="游ゴシック"/>
          <w:b/>
          <w:sz w:val="20"/>
        </w:rPr>
        <w:t>表6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採用により総給付費（3か年）＋3,213,698円・月額＋2.16円。保険料基準額は6,400円で変わらない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の算定（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表7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表8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表9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表10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spacing w:before="180" w:after="60"/>
      </w:pPr>
      <w:r>
        <w:rPr>
          <w:rFonts w:ascii="游ゴシック" w:hAnsi="游ゴシック" w:eastAsia="游ゴシック"/>
          <w:b/>
          <w:sz w:val="22"/>
        </w:rPr>
        <w:t>調整交付金の一定の取組による減額</w:t>
      </w:r>
    </w:p>
    <w:p>
      <w:pPr>
        <w:spacing w:after="80"/>
      </w:pPr>
      <w:r>
        <w:rPr>
          <w:rFonts w:ascii="游ゴシック" w:hAnsi="游ゴシック" w:eastAsia="游ゴシック"/>
          <w:b w:val="0"/>
          <w:sz w:val="20"/>
        </w:rPr>
        <w:t>令和8年9月18日の社会保障審議会介護保険部会において、調整交付金の年齢区分の精緻化により交付額が増加する保険者について、介護給付適正化の主要3事業のいずれかを実施していない場合に</w:t>
      </w:r>
      <w:r>
        <w:rPr>
          <w:rFonts w:ascii="游ゴシック" w:hAnsi="游ゴシック" w:eastAsia="游ゴシック"/>
          <w:b/>
          <w:sz w:val="20"/>
        </w:rPr>
        <w:t>増加した額の5％を減額する</w:t>
      </w:r>
      <w:r>
        <w:rPr>
          <w:rFonts w:ascii="游ゴシック" w:hAnsi="游ゴシック" w:eastAsia="游ゴシック"/>
          <w:b w:val="0"/>
          <w:sz w:val="20"/>
        </w:rPr>
        <w:t>こととされました。</w:t>
      </w:r>
      <w:r>
        <w:rPr>
          <w:rFonts w:ascii="游ゴシック" w:hAnsi="游ゴシック" w:eastAsia="游ゴシック"/>
          <w:b/>
          <w:sz w:val="20"/>
        </w:rPr>
        <w:t>当広域連合はケアプラン等の点検を実施していないため該当します。</w:t>
      </w:r>
      <w:r>
        <w:rPr>
          <w:rFonts w:ascii="游ゴシック" w:hAnsi="游ゴシック" w:eastAsia="游ゴシック"/>
          <w:b w:val="0"/>
          <w:sz w:val="20"/>
        </w:rPr>
        <w:t xml:space="preserve"> 減額の額は年齢区分の精緻化による増加額によって決まるため、当広域連合に係る交付割合が示されるまでは算定できません。大きさを見るために調整交付金見込額が5％減少した場合の値を示すと</w:t>
      </w:r>
      <w:r>
        <w:rPr>
          <w:rFonts w:ascii="游ゴシック" w:hAnsi="游ゴシック" w:eastAsia="游ゴシック"/>
          <w:b/>
          <w:sz w:val="20"/>
        </w:rPr>
        <w:t>月額＋112円</w:t>
      </w:r>
      <w:r>
        <w:rPr>
          <w:rFonts w:ascii="游ゴシック" w:hAnsi="游ゴシック" w:eastAsia="游ゴシック"/>
          <w:b w:val="0"/>
          <w:sz w:val="20"/>
        </w:rPr>
        <w:t>となります。</w:t>
      </w:r>
    </w:p>
    <w:p>
      <w:pPr>
        <w:ind w:left="227"/>
      </w:pPr>
      <w:r>
        <w:rPr>
          <w:rFonts w:ascii="游ゴシック" w:hAnsi="游ゴシック" w:eastAsia="游ゴシック"/>
          <w:b w:val="0"/>
          <w:sz w:val="18"/>
        </w:rPr>
        <w:t>※ 月額＋112円は、調整交付金見込額（E　729,464,444円）が5％減少した場合の値であり、減額の見込額ではありません。年齢区分の精緻化により交付額が増加しない場合は減額は生じません。年齢区分は令和9年4月の介護保険事業状況報告から3区分を7区分に改め、令和10年度の財政調整交付金から適用されます［要確認］。</w:t>
      </w:r>
    </w:p>
    <w:p>
      <w:pPr>
        <w:keepNext/>
        <w:pageBreakBefore w:val="0"/>
        <w:spacing w:before="280" w:after="120"/>
      </w:pPr>
      <w:r>
        <w:rPr>
          <w:rFonts w:ascii="游ゴシック" w:hAnsi="游ゴシック" w:eastAsia="游ゴシック"/>
          <w:b/>
          <w:color w:val="1F3864"/>
          <w:sz w:val="26"/>
        </w:rPr>
        <w:t>第5節　令和8年9月の制度の動向と構成3町に関わる対応</w:t>
      </w:r>
    </w:p>
    <w:p>
      <w:pPr>
        <w:spacing w:after="80"/>
      </w:pPr>
      <w:r>
        <w:rPr>
          <w:rFonts w:ascii="游ゴシック" w:hAnsi="游ゴシック" w:eastAsia="游ゴシック"/>
          <w:b w:val="0"/>
          <w:sz w:val="20"/>
        </w:rPr>
        <w:t>第136回社会保障審議会介護保険部会（令和8年9月18日）において示された事項のうち、構成3町に関わるものです。いずれも計画素案へ反映しています（新たな章・節は起こしていません）。</w:t>
      </w:r>
    </w:p>
    <w:p>
      <w:pPr>
        <w:keepNext/>
        <w:spacing w:before="160" w:after="40"/>
      </w:pPr>
      <w:r>
        <w:rPr>
          <w:rFonts w:ascii="游ゴシック" w:hAnsi="游ゴシック" w:eastAsia="游ゴシック"/>
          <w:b/>
          <w:sz w:val="20"/>
        </w:rPr>
        <w:t>表11　令和8年9月18日の介護保険部会で示された事項　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6"/>
              </w:rPr>
              <w:t>事項</w:t>
            </w:r>
          </w:p>
        </w:tc>
        <w:tc>
          <w:tcPr>
            <w:tcW w:type="dxa" w:w="2835"/>
            <w:shd w:val="clear" w:color="auto" w:fill="1F3864"/>
            <w:vAlign w:val="center"/>
          </w:tcPr>
          <w:p>
            <w:pPr>
              <w:spacing w:after="0"/>
              <w:jc w:val="center"/>
            </w:pPr>
            <w:r>
              <w:rPr>
                <w:rFonts w:ascii="游ゴシック" w:hAnsi="游ゴシック" w:eastAsia="游ゴシック"/>
                <w:b/>
                <w:color w:val="FFFFFF"/>
                <w:sz w:val="16"/>
              </w:rPr>
              <w:t>国が示した内容</w:t>
            </w:r>
          </w:p>
        </w:tc>
        <w:tc>
          <w:tcPr>
            <w:tcW w:type="dxa" w:w="3288"/>
            <w:shd w:val="clear" w:color="auto" w:fill="1F3864"/>
            <w:vAlign w:val="center"/>
          </w:tcPr>
          <w:p>
            <w:pPr>
              <w:spacing w:after="0"/>
              <w:jc w:val="center"/>
            </w:pPr>
            <w:r>
              <w:rPr>
                <w:rFonts w:ascii="游ゴシック" w:hAnsi="游ゴシック" w:eastAsia="游ゴシック"/>
                <w:b/>
                <w:color w:val="FFFFFF"/>
                <w:sz w:val="16"/>
              </w:rPr>
              <w:t>構成3町に関わること</w:t>
            </w:r>
          </w:p>
        </w:tc>
        <w:tc>
          <w:tcPr>
            <w:tcW w:type="dxa" w:w="1814"/>
            <w:shd w:val="clear" w:color="auto" w:fill="1F3864"/>
            <w:vAlign w:val="center"/>
          </w:tcPr>
          <w:p>
            <w:pPr>
              <w:spacing w:after="0"/>
              <w:jc w:val="center"/>
            </w:pPr>
            <w:r>
              <w:rPr>
                <w:rFonts w:ascii="游ゴシック" w:hAnsi="游ゴシック" w:eastAsia="游ゴシック"/>
                <w:b/>
                <w:color w:val="FFFFFF"/>
                <w:sz w:val="16"/>
              </w:rPr>
              <w:t>計画本文</w:t>
            </w:r>
          </w:p>
        </w:tc>
      </w:tr>
      <w:tr>
        <w:trPr>
          <w:cantSplit/>
        </w:trPr>
        <w:tc>
          <w:tcPr>
            <w:tcW w:type="dxa" w:w="1814"/>
            <w:vAlign w:val="center"/>
          </w:tcPr>
          <w:p>
            <w:pPr>
              <w:spacing w:after="0"/>
            </w:pPr>
            <w:r>
              <w:rPr>
                <w:rFonts w:ascii="游ゴシック" w:hAnsi="游ゴシック" w:eastAsia="游ゴシック"/>
                <w:b/>
                <w:sz w:val="16"/>
              </w:rPr>
              <w:t>介護情報基盤の構築と活用</w:t>
            </w:r>
          </w:p>
        </w:tc>
        <w:tc>
          <w:tcPr>
            <w:tcW w:type="dxa" w:w="2835"/>
            <w:vAlign w:val="center"/>
          </w:tcPr>
          <w:p>
            <w:pPr>
              <w:spacing w:after="0"/>
            </w:pPr>
            <w:r>
              <w:rPr>
                <w:rFonts w:ascii="游ゴシック" w:hAnsi="游ゴシック" w:eastAsia="游ゴシック"/>
                <w:b w:val="0"/>
                <w:sz w:val="16"/>
              </w:rPr>
              <w:t>令和10年4月1日までにデータ移行を含めて完了し活用を開始する（標準化対応の適合基準日は令和9年1月1日）</w:t>
            </w:r>
          </w:p>
        </w:tc>
        <w:tc>
          <w:tcPr>
            <w:tcW w:type="dxa" w:w="3288"/>
            <w:vAlign w:val="center"/>
          </w:tcPr>
          <w:p>
            <w:pPr>
              <w:spacing w:after="0"/>
            </w:pPr>
            <w:r>
              <w:rPr>
                <w:rFonts w:ascii="游ゴシック" w:hAnsi="游ゴシック" w:eastAsia="游ゴシック"/>
                <w:b w:val="0"/>
                <w:sz w:val="16"/>
              </w:rPr>
              <w:t>介護保険事務システムの標準化対応・改修・データ移行。地域で独自に手段を整えるのではなく、国の基盤で共有できる範囲を確かめてから地域の手順を定めます</w:t>
            </w:r>
          </w:p>
        </w:tc>
        <w:tc>
          <w:tcPr>
            <w:tcW w:type="dxa" w:w="1814"/>
            <w:vAlign w:val="center"/>
          </w:tcPr>
          <w:p>
            <w:pPr>
              <w:spacing w:after="0"/>
            </w:pPr>
            <w:r>
              <w:rPr>
                <w:rFonts w:ascii="游ゴシック" w:hAnsi="游ゴシック" w:eastAsia="游ゴシック"/>
                <w:b w:val="0"/>
                <w:sz w:val="16"/>
              </w:rPr>
              <w:t>第1章第9節5・第5章 基本目標1</w:t>
            </w:r>
          </w:p>
        </w:tc>
      </w:tr>
      <w:tr>
        <w:trPr>
          <w:cantSplit/>
        </w:trPr>
        <w:tc>
          <w:tcPr>
            <w:tcW w:type="dxa" w:w="1814"/>
            <w:shd w:val="clear" w:color="auto" w:fill="F2F5FA"/>
            <w:vAlign w:val="center"/>
          </w:tcPr>
          <w:p>
            <w:pPr>
              <w:spacing w:after="0"/>
            </w:pPr>
            <w:r>
              <w:rPr>
                <w:rFonts w:ascii="游ゴシック" w:hAnsi="游ゴシック" w:eastAsia="游ゴシック"/>
                <w:b/>
                <w:sz w:val="16"/>
              </w:rPr>
              <w:t>ケアプランデータ連携機能の統合</w:t>
            </w:r>
          </w:p>
        </w:tc>
        <w:tc>
          <w:tcPr>
            <w:tcW w:type="dxa" w:w="2835"/>
            <w:shd w:val="clear" w:color="auto" w:fill="F2F5FA"/>
            <w:vAlign w:val="center"/>
          </w:tcPr>
          <w:p>
            <w:pPr>
              <w:spacing w:after="0"/>
            </w:pPr>
            <w:r>
              <w:rPr>
                <w:rFonts w:ascii="游ゴシック" w:hAnsi="游ゴシック" w:eastAsia="游ゴシック"/>
                <w:b w:val="0"/>
                <w:sz w:val="16"/>
              </w:rPr>
              <w:t>令和9年1月に統合し、令和9年4月以降は連携用の接続により行う。全国の導入率は令和8年7月末で53.1％</w:t>
            </w:r>
          </w:p>
        </w:tc>
        <w:tc>
          <w:tcPr>
            <w:tcW w:type="dxa" w:w="3288"/>
            <w:shd w:val="clear" w:color="auto" w:fill="F2F5FA"/>
            <w:vAlign w:val="center"/>
          </w:tcPr>
          <w:p>
            <w:pPr>
              <w:spacing w:after="0"/>
            </w:pPr>
            <w:r>
              <w:rPr>
                <w:rFonts w:ascii="游ゴシック" w:hAnsi="游ゴシック" w:eastAsia="游ゴシック"/>
                <w:b w:val="0"/>
                <w:sz w:val="16"/>
              </w:rPr>
              <w:t>区域内の居宅介護支援事業所及びサービス事業所への周知と新しい仕組みでの登録</w:t>
            </w:r>
          </w:p>
        </w:tc>
        <w:tc>
          <w:tcPr>
            <w:tcW w:type="dxa" w:w="1814"/>
            <w:shd w:val="clear" w:color="auto" w:fill="F2F5FA"/>
            <w:vAlign w:val="center"/>
          </w:tcPr>
          <w:p>
            <w:pPr>
              <w:spacing w:after="0"/>
            </w:pPr>
            <w:r>
              <w:rPr>
                <w:rFonts w:ascii="游ゴシック" w:hAnsi="游ゴシック" w:eastAsia="游ゴシック"/>
                <w:b w:val="0"/>
                <w:sz w:val="16"/>
              </w:rPr>
              <w:t>第5章 基本目標4</w:t>
            </w:r>
          </w:p>
        </w:tc>
      </w:tr>
      <w:tr>
        <w:trPr>
          <w:cantSplit/>
        </w:trPr>
        <w:tc>
          <w:tcPr>
            <w:tcW w:type="dxa" w:w="1814"/>
            <w:vAlign w:val="center"/>
          </w:tcPr>
          <w:p>
            <w:pPr>
              <w:spacing w:after="0"/>
            </w:pPr>
            <w:r>
              <w:rPr>
                <w:rFonts w:ascii="游ゴシック" w:hAnsi="游ゴシック" w:eastAsia="游ゴシック"/>
                <w:b/>
                <w:sz w:val="16"/>
              </w:rPr>
              <w:t>介護サービス事業者経営情報データベース</w:t>
            </w:r>
          </w:p>
        </w:tc>
        <w:tc>
          <w:tcPr>
            <w:tcW w:type="dxa" w:w="2835"/>
            <w:vAlign w:val="center"/>
          </w:tcPr>
          <w:p>
            <w:pPr>
              <w:spacing w:after="0"/>
            </w:pPr>
            <w:r>
              <w:rPr>
                <w:rFonts w:ascii="游ゴシック" w:hAnsi="游ゴシック" w:eastAsia="游ゴシック"/>
                <w:b w:val="0"/>
                <w:sz w:val="16"/>
              </w:rPr>
              <w:t>令和8年10月から12月までに報告し、令和9年4月以降に分析結果を部会へ報告する</w:t>
            </w:r>
          </w:p>
        </w:tc>
        <w:tc>
          <w:tcPr>
            <w:tcW w:type="dxa" w:w="3288"/>
            <w:vAlign w:val="center"/>
          </w:tcPr>
          <w:p>
            <w:pPr>
              <w:spacing w:after="0"/>
            </w:pPr>
            <w:r>
              <w:rPr>
                <w:rFonts w:ascii="游ゴシック" w:hAnsi="游ゴシック" w:eastAsia="游ゴシック"/>
                <w:b w:val="0"/>
                <w:sz w:val="16"/>
              </w:rPr>
              <w:t>公表される分析結果を事業者の経営支援にどこまで用いるか</w:t>
            </w:r>
          </w:p>
        </w:tc>
        <w:tc>
          <w:tcPr>
            <w:tcW w:type="dxa" w:w="1814"/>
            <w:vAlign w:val="center"/>
          </w:tcPr>
          <w:p>
            <w:pPr>
              <w:spacing w:after="0"/>
            </w:pPr>
            <w:r>
              <w:rPr>
                <w:rFonts w:ascii="游ゴシック" w:hAnsi="游ゴシック" w:eastAsia="游ゴシック"/>
                <w:b w:val="0"/>
                <w:sz w:val="16"/>
              </w:rPr>
              <w:t>第1章第9節5・第5章 基本目標4</w:t>
            </w:r>
          </w:p>
        </w:tc>
      </w:tr>
      <w:tr>
        <w:trPr>
          <w:cantSplit/>
        </w:trPr>
        <w:tc>
          <w:tcPr>
            <w:tcW w:type="dxa" w:w="1814"/>
            <w:shd w:val="clear" w:color="auto" w:fill="F2F5FA"/>
            <w:vAlign w:val="center"/>
          </w:tcPr>
          <w:p>
            <w:pPr>
              <w:spacing w:after="0"/>
            </w:pPr>
            <w:r>
              <w:rPr>
                <w:rFonts w:ascii="游ゴシック" w:hAnsi="游ゴシック" w:eastAsia="游ゴシック"/>
                <w:b/>
                <w:sz w:val="16"/>
              </w:rPr>
              <w:t>介護事業者の連携・協働化</w:t>
            </w:r>
          </w:p>
        </w:tc>
        <w:tc>
          <w:tcPr>
            <w:tcW w:type="dxa" w:w="2835"/>
            <w:shd w:val="clear" w:color="auto" w:fill="F2F5FA"/>
            <w:vAlign w:val="center"/>
          </w:tcPr>
          <w:p>
            <w:pPr>
              <w:spacing w:after="0"/>
            </w:pPr>
            <w:r>
              <w:rPr>
                <w:rFonts w:ascii="游ゴシック" w:hAnsi="游ゴシック" w:eastAsia="游ゴシック"/>
                <w:b w:val="0"/>
                <w:sz w:val="16"/>
              </w:rPr>
              <w:t>都道府県との協定による連携。令和9年度概算要求に経費の支援と補助率の上乗せ。市町村の役割はなお検討中</w:t>
            </w:r>
          </w:p>
        </w:tc>
        <w:tc>
          <w:tcPr>
            <w:tcW w:type="dxa" w:w="3288"/>
            <w:shd w:val="clear" w:color="auto" w:fill="F2F5FA"/>
            <w:vAlign w:val="center"/>
          </w:tcPr>
          <w:p>
            <w:pPr>
              <w:spacing w:after="0"/>
            </w:pPr>
            <w:r>
              <w:rPr>
                <w:rFonts w:ascii="游ゴシック" w:hAnsi="游ゴシック" w:eastAsia="游ゴシック"/>
                <w:b w:val="0"/>
                <w:sz w:val="16"/>
              </w:rPr>
              <w:t>北海道との協定に広域連合及び3町がどのように関わるか</w:t>
            </w:r>
          </w:p>
        </w:tc>
        <w:tc>
          <w:tcPr>
            <w:tcW w:type="dxa" w:w="1814"/>
            <w:shd w:val="clear" w:color="auto" w:fill="F2F5FA"/>
            <w:vAlign w:val="center"/>
          </w:tcPr>
          <w:p>
            <w:pPr>
              <w:spacing w:after="0"/>
            </w:pPr>
            <w:r>
              <w:rPr>
                <w:rFonts w:ascii="游ゴシック" w:hAnsi="游ゴシック" w:eastAsia="游ゴシック"/>
                <w:b w:val="0"/>
                <w:sz w:val="16"/>
              </w:rPr>
              <w:t>第5章 基本目標3・基本目標4</w:t>
            </w:r>
          </w:p>
        </w:tc>
      </w:tr>
      <w:tr>
        <w:trPr>
          <w:cantSplit/>
        </w:trPr>
        <w:tc>
          <w:tcPr>
            <w:tcW w:type="dxa" w:w="1814"/>
            <w:vAlign w:val="center"/>
          </w:tcPr>
          <w:p>
            <w:pPr>
              <w:spacing w:after="0"/>
            </w:pPr>
            <w:r>
              <w:rPr>
                <w:rFonts w:ascii="游ゴシック" w:hAnsi="游ゴシック" w:eastAsia="游ゴシック"/>
                <w:b/>
                <w:sz w:val="16"/>
              </w:rPr>
              <w:t>介護給付適正化と調整交付金の減額</w:t>
            </w:r>
          </w:p>
        </w:tc>
        <w:tc>
          <w:tcPr>
            <w:tcW w:type="dxa" w:w="2835"/>
            <w:vAlign w:val="center"/>
          </w:tcPr>
          <w:p>
            <w:pPr>
              <w:spacing w:after="0"/>
            </w:pPr>
            <w:r>
              <w:rPr>
                <w:rFonts w:ascii="游ゴシック" w:hAnsi="游ゴシック" w:eastAsia="游ゴシック"/>
                <w:b w:val="0"/>
                <w:sz w:val="16"/>
              </w:rPr>
              <w:t>年齢区分の精緻化により交付額が増加する保険者について、主要3事業のいずれかを実施していない場合に増加額の5％を減額する</w:t>
            </w:r>
          </w:p>
        </w:tc>
        <w:tc>
          <w:tcPr>
            <w:tcW w:type="dxa" w:w="3288"/>
            <w:vAlign w:val="center"/>
          </w:tcPr>
          <w:p>
            <w:pPr>
              <w:spacing w:after="0"/>
            </w:pPr>
            <w:r>
              <w:rPr>
                <w:rFonts w:ascii="游ゴシック" w:hAnsi="游ゴシック" w:eastAsia="游ゴシック"/>
                <w:b/>
                <w:sz w:val="16"/>
              </w:rPr>
              <w:t>当広域連合はケアプラン等の点検を実施していないため該当します。</w:t>
            </w:r>
            <w:r>
              <w:rPr>
                <w:rFonts w:ascii="游ゴシック" w:hAnsi="游ゴシック" w:eastAsia="游ゴシック"/>
                <w:b w:val="0"/>
                <w:sz w:val="16"/>
              </w:rPr>
              <w:t>主要3事業の実施が要ります（B2）</w:t>
            </w:r>
          </w:p>
        </w:tc>
        <w:tc>
          <w:tcPr>
            <w:tcW w:type="dxa" w:w="1814"/>
            <w:vAlign w:val="center"/>
          </w:tcPr>
          <w:p>
            <w:pPr>
              <w:spacing w:after="0"/>
            </w:pPr>
            <w:r>
              <w:rPr>
                <w:rFonts w:ascii="游ゴシック" w:hAnsi="游ゴシック" w:eastAsia="游ゴシック"/>
                <w:b w:val="0"/>
                <w:sz w:val="16"/>
              </w:rPr>
              <w:t>第5章 基本目標5・第6章第6節2・4</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第1号保険料の在り方</w:t>
            </w:r>
          </w:p>
        </w:tc>
        <w:tc>
          <w:tcPr>
            <w:tcW w:type="dxa" w:w="2835"/>
            <w:shd w:val="clear" w:color="auto" w:fill="F2F5FA"/>
            <w:vAlign w:val="center"/>
          </w:tcPr>
          <w:p>
            <w:pPr>
              <w:spacing w:after="0"/>
            </w:pPr>
            <w:r>
              <w:rPr>
                <w:rFonts w:ascii="游ゴシック" w:hAnsi="游ゴシック" w:eastAsia="游ゴシック"/>
                <w:b w:val="0"/>
                <w:sz w:val="16"/>
              </w:rPr>
              <w:t>高所得者の標準乗率の見直しと、課税化に伴う上昇の緩和。論点が示された段階であり内容は定まっていない</w:t>
            </w:r>
          </w:p>
        </w:tc>
        <w:tc>
          <w:tcPr>
            <w:tcW w:type="dxa" w:w="3288"/>
            <w:shd w:val="clear" w:color="auto" w:fill="F2F5FA"/>
            <w:vAlign w:val="center"/>
          </w:tcPr>
          <w:p>
            <w:pPr>
              <w:spacing w:after="0"/>
            </w:pPr>
            <w:r>
              <w:rPr>
                <w:rFonts w:ascii="游ゴシック" w:hAnsi="游ゴシック" w:eastAsia="游ゴシック"/>
                <w:b w:val="0"/>
                <w:sz w:val="16"/>
              </w:rPr>
              <w:t>所得段階と乗率は政令により定まります。第9期の条例による16段階を据え置いて算定しています</w:t>
            </w:r>
          </w:p>
        </w:tc>
        <w:tc>
          <w:tcPr>
            <w:tcW w:type="dxa" w:w="1814"/>
            <w:shd w:val="clear" w:color="auto" w:fill="F2F5FA"/>
            <w:vAlign w:val="center"/>
          </w:tcPr>
          <w:p>
            <w:pPr>
              <w:spacing w:after="0"/>
            </w:pPr>
            <w:r>
              <w:rPr>
                <w:rFonts w:ascii="游ゴシック" w:hAnsi="游ゴシック" w:eastAsia="游ゴシック"/>
                <w:b w:val="0"/>
                <w:sz w:val="16"/>
              </w:rPr>
              <w:t>第1章第9節5・第6章第6節5</w:t>
            </w:r>
          </w:p>
        </w:tc>
      </w:tr>
      <w:tr>
        <w:trPr>
          <w:cantSplit/>
        </w:trPr>
        <w:tc>
          <w:tcPr>
            <w:tcW w:type="dxa" w:w="1814"/>
            <w:vAlign w:val="center"/>
          </w:tcPr>
          <w:p>
            <w:pPr>
              <w:spacing w:after="0"/>
            </w:pPr>
            <w:r>
              <w:rPr>
                <w:rFonts w:ascii="游ゴシック" w:hAnsi="游ゴシック" w:eastAsia="游ゴシック"/>
                <w:b/>
                <w:sz w:val="16"/>
              </w:rPr>
              <w:t>補足給付の見直し</w:t>
            </w:r>
          </w:p>
        </w:tc>
        <w:tc>
          <w:tcPr>
            <w:tcW w:type="dxa" w:w="2835"/>
            <w:vAlign w:val="center"/>
          </w:tcPr>
          <w:p>
            <w:pPr>
              <w:spacing w:after="0"/>
            </w:pPr>
            <w:r>
              <w:rPr>
                <w:rFonts w:ascii="游ゴシック" w:hAnsi="游ゴシック" w:eastAsia="游ゴシック"/>
                <w:b w:val="0"/>
                <w:sz w:val="16"/>
              </w:rPr>
              <w:t>令和8年8月の実施分に加え、令和9年度から第3段階①②を各2分割する</w:t>
            </w:r>
          </w:p>
        </w:tc>
        <w:tc>
          <w:tcPr>
            <w:tcW w:type="dxa" w:w="3288"/>
            <w:vAlign w:val="center"/>
          </w:tcPr>
          <w:p>
            <w:pPr>
              <w:spacing w:after="0"/>
            </w:pPr>
            <w:r>
              <w:rPr>
                <w:rFonts w:ascii="游ゴシック" w:hAnsi="游ゴシック" w:eastAsia="游ゴシック"/>
                <w:b w:val="0"/>
                <w:sz w:val="16"/>
              </w:rPr>
              <w:t>負担限度額の認定事務と要綱の改正</w:t>
            </w:r>
          </w:p>
        </w:tc>
        <w:tc>
          <w:tcPr>
            <w:tcW w:type="dxa" w:w="1814"/>
            <w:vAlign w:val="center"/>
          </w:tcPr>
          <w:p>
            <w:pPr>
              <w:spacing w:after="0"/>
            </w:pPr>
            <w:r>
              <w:rPr>
                <w:rFonts w:ascii="游ゴシック" w:hAnsi="游ゴシック" w:eastAsia="游ゴシック"/>
                <w:b w:val="0"/>
                <w:sz w:val="16"/>
              </w:rPr>
              <w:t>第1章第9節4・第6章第7節</w:t>
            </w:r>
          </w:p>
        </w:tc>
      </w:tr>
      <w:tr>
        <w:trPr>
          <w:cantSplit/>
        </w:trPr>
        <w:tc>
          <w:tcPr>
            <w:tcW w:type="dxa" w:w="1814"/>
            <w:shd w:val="clear" w:color="auto" w:fill="F2F5FA"/>
            <w:vAlign w:val="center"/>
          </w:tcPr>
          <w:p>
            <w:pPr>
              <w:spacing w:after="0"/>
            </w:pPr>
            <w:r>
              <w:rPr>
                <w:rFonts w:ascii="游ゴシック" w:hAnsi="游ゴシック" w:eastAsia="游ゴシック"/>
                <w:b/>
                <w:sz w:val="16"/>
              </w:rPr>
              <w:t>第1号保険料段階の基準額</w:t>
            </w:r>
          </w:p>
        </w:tc>
        <w:tc>
          <w:tcPr>
            <w:tcW w:type="dxa" w:w="2835"/>
            <w:shd w:val="clear" w:color="auto" w:fill="F2F5FA"/>
            <w:vAlign w:val="center"/>
          </w:tcPr>
          <w:p>
            <w:pPr>
              <w:spacing w:after="0"/>
            </w:pPr>
            <w:r>
              <w:rPr>
                <w:rFonts w:ascii="游ゴシック" w:hAnsi="游ゴシック" w:eastAsia="游ゴシック"/>
                <w:b w:val="0"/>
                <w:sz w:val="16"/>
              </w:rPr>
              <w:t>老齢基礎年金（満額）の上昇により80.9万円から82.65万円へ。今後は基本的に毎年見直す</w:t>
            </w:r>
          </w:p>
        </w:tc>
        <w:tc>
          <w:tcPr>
            <w:tcW w:type="dxa" w:w="3288"/>
            <w:shd w:val="clear" w:color="auto" w:fill="F2F5FA"/>
            <w:vAlign w:val="center"/>
          </w:tcPr>
          <w:p>
            <w:pPr>
              <w:spacing w:after="0"/>
            </w:pPr>
            <w:r>
              <w:rPr>
                <w:rFonts w:ascii="游ゴシック" w:hAnsi="游ゴシック" w:eastAsia="游ゴシック"/>
                <w:b w:val="0"/>
                <w:sz w:val="16"/>
              </w:rPr>
              <w:t>条例改正の手続を要します</w:t>
            </w:r>
          </w:p>
        </w:tc>
        <w:tc>
          <w:tcPr>
            <w:tcW w:type="dxa" w:w="1814"/>
            <w:shd w:val="clear" w:color="auto" w:fill="F2F5FA"/>
            <w:vAlign w:val="center"/>
          </w:tcPr>
          <w:p>
            <w:pPr>
              <w:spacing w:after="0"/>
            </w:pPr>
            <w:r>
              <w:rPr>
                <w:rFonts w:ascii="游ゴシック" w:hAnsi="游ゴシック" w:eastAsia="游ゴシック"/>
                <w:b w:val="0"/>
                <w:sz w:val="16"/>
              </w:rPr>
              <w:t>第1章第9節4・第6章第7節</w:t>
            </w:r>
          </w:p>
        </w:tc>
      </w:tr>
      <w:tr>
        <w:trPr>
          <w:cantSplit/>
        </w:trPr>
        <w:tc>
          <w:tcPr>
            <w:tcW w:type="dxa" w:w="1814"/>
            <w:vAlign w:val="center"/>
          </w:tcPr>
          <w:p>
            <w:pPr>
              <w:spacing w:after="0"/>
            </w:pPr>
            <w:r>
              <w:rPr>
                <w:rFonts w:ascii="游ゴシック" w:hAnsi="游ゴシック" w:eastAsia="游ゴシック"/>
                <w:b/>
                <w:sz w:val="16"/>
              </w:rPr>
              <w:t>一定以上所得基準</w:t>
            </w:r>
          </w:p>
        </w:tc>
        <w:tc>
          <w:tcPr>
            <w:tcW w:type="dxa" w:w="2835"/>
            <w:vAlign w:val="center"/>
          </w:tcPr>
          <w:p>
            <w:pPr>
              <w:spacing w:after="0"/>
            </w:pPr>
            <w:r>
              <w:rPr>
                <w:rFonts w:ascii="游ゴシック" w:hAnsi="游ゴシック" w:eastAsia="游ゴシック"/>
                <w:b w:val="0"/>
                <w:sz w:val="16"/>
              </w:rPr>
              <w:t>第10期計画期間の開始（令和9年度）の前までに結論を得る。見直しの内容も施行の時期も示されていない</w:t>
            </w:r>
          </w:p>
        </w:tc>
        <w:tc>
          <w:tcPr>
            <w:tcW w:type="dxa" w:w="3288"/>
            <w:vAlign w:val="center"/>
          </w:tcPr>
          <w:p>
            <w:pPr>
              <w:spacing w:after="0"/>
            </w:pPr>
            <w:r>
              <w:rPr>
                <w:rFonts w:ascii="游ゴシック" w:hAnsi="游ゴシック" w:eastAsia="游ゴシック"/>
                <w:b w:val="0"/>
                <w:sz w:val="16"/>
              </w:rPr>
              <w:t>結論が示された時点で給付費及び保険料収納必要額を再算定します</w:t>
            </w:r>
          </w:p>
        </w:tc>
        <w:tc>
          <w:tcPr>
            <w:tcW w:type="dxa" w:w="1814"/>
            <w:vAlign w:val="center"/>
          </w:tcPr>
          <w:p>
            <w:pPr>
              <w:spacing w:after="0"/>
            </w:pPr>
            <w:r>
              <w:rPr>
                <w:rFonts w:ascii="游ゴシック" w:hAnsi="游ゴシック" w:eastAsia="游ゴシック"/>
                <w:b w:val="0"/>
                <w:sz w:val="16"/>
              </w:rPr>
              <w:t>第1章第9節4・第6章第7節</w:t>
            </w:r>
          </w:p>
        </w:tc>
      </w:tr>
    </w:tbl>
    <w:p>
      <w:pPr>
        <w:spacing w:after="80"/>
      </w:pPr>
      <w:r>
        <w:rPr>
          <w:rFonts w:ascii="游ゴシック" w:hAnsi="游ゴシック" w:eastAsia="游ゴシック"/>
          <w:b w:val="0"/>
          <w:sz w:val="17"/>
        </w:rPr>
        <w:t>資料：第136回社会保障審議会介護保険部会 資料1から資料6まで及び参考資料（令和8年9月18日）</w:t>
      </w:r>
    </w:p>
    <w:p>
      <w:pPr>
        <w:spacing w:after="80"/>
      </w:pPr>
      <w:r>
        <w:rPr>
          <w:rFonts w:ascii="游ゴシック" w:hAnsi="游ゴシック" w:eastAsia="游ゴシック"/>
          <w:b w:val="0"/>
          <w:sz w:val="20"/>
        </w:rPr>
        <w:t>このうち</w:t>
      </w:r>
      <w:r>
        <w:rPr>
          <w:rFonts w:ascii="游ゴシック" w:hAnsi="游ゴシック" w:eastAsia="游ゴシック"/>
          <w:b/>
          <w:sz w:val="20"/>
        </w:rPr>
        <w:t>介護情報基盤への対応は、構成3町の介護保険事務システムの標準化対応とデータ移行を伴うため、年度ごとの工程をご確認いただきたい事項です（確認事項No.175。第7節2 B1）。</w:t>
      </w:r>
      <w:r>
        <w:rPr>
          <w:rFonts w:ascii="游ゴシック" w:hAnsi="游ゴシック" w:eastAsia="游ゴシック"/>
          <w:b w:val="0"/>
          <w:sz w:val="20"/>
        </w:rPr>
        <w:t>医療と介護の連携は、地域で独自に手段を整えるのではなく、国の基盤で共有できる範囲を確かめてから地域の手順を定める順序とします。</w:t>
      </w:r>
    </w:p>
    <w:p>
      <w:pPr>
        <w:keepNext/>
        <w:spacing w:before="160" w:after="40"/>
      </w:pPr>
      <w:r>
        <w:rPr>
          <w:rFonts w:ascii="游ゴシック" w:hAnsi="游ゴシック" w:eastAsia="游ゴシック"/>
          <w:b/>
          <w:sz w:val="20"/>
        </w:rPr>
        <w:t>表12　引き続き検討することとされた事項　7件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9752"/>
      </w:tblGrid>
      <w:tr>
        <w:trPr>
          <w:tblHeader/>
        </w:trPr>
        <w:tc>
          <w:tcPr>
            <w:tcW w:type="dxa" w:w="9751"/>
            <w:shd w:val="clear" w:color="auto" w:fill="1F3864"/>
            <w:vAlign w:val="center"/>
          </w:tcPr>
          <w:p>
            <w:pPr>
              <w:keepNext/>
              <w:spacing w:after="0"/>
              <w:jc w:val="center"/>
            </w:pPr>
            <w:r>
              <w:rPr>
                <w:rFonts w:ascii="游ゴシック" w:hAnsi="游ゴシック" w:eastAsia="游ゴシック"/>
                <w:b/>
                <w:color w:val="FFFFFF"/>
                <w:sz w:val="18"/>
              </w:rPr>
              <w:t>事項</w:t>
            </w:r>
          </w:p>
        </w:tc>
      </w:tr>
      <w:tr>
        <w:trPr>
          <w:cantSplit/>
        </w:trPr>
        <w:tc>
          <w:tcPr>
            <w:tcW w:type="dxa" w:w="9751"/>
            <w:vAlign w:val="center"/>
          </w:tcPr>
          <w:p>
            <w:pPr>
              <w:keepNext/>
              <w:spacing w:after="0"/>
            </w:pPr>
            <w:r>
              <w:rPr>
                <w:rFonts w:ascii="游ゴシック" w:hAnsi="游ゴシック" w:eastAsia="游ゴシック"/>
                <w:b w:val="0"/>
                <w:sz w:val="18"/>
              </w:rPr>
              <w:t>多床室の室料負担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軽度者への生活援助サービス等の地域支援事業への移行</w:t>
            </w:r>
          </w:p>
        </w:tc>
      </w:tr>
      <w:tr>
        <w:trPr>
          <w:cantSplit/>
        </w:trPr>
        <w:tc>
          <w:tcPr>
            <w:tcW w:type="dxa" w:w="9751"/>
            <w:vAlign w:val="center"/>
          </w:tcPr>
          <w:p>
            <w:pPr>
              <w:keepNext/>
              <w:spacing w:after="0"/>
            </w:pPr>
            <w:r>
              <w:rPr>
                <w:rFonts w:ascii="游ゴシック" w:hAnsi="游ゴシック" w:eastAsia="游ゴシック"/>
                <w:b w:val="0"/>
                <w:sz w:val="18"/>
              </w:rPr>
              <w:t>金融所得・金融資産の勘案</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高額介護サービス費の負担限度額</w:t>
            </w:r>
          </w:p>
        </w:tc>
      </w:tr>
      <w:tr>
        <w:trPr>
          <w:cantSplit/>
        </w:trPr>
        <w:tc>
          <w:tcPr>
            <w:tcW w:type="dxa" w:w="9751"/>
            <w:vAlign w:val="center"/>
          </w:tcPr>
          <w:p>
            <w:pPr>
              <w:keepNext/>
              <w:spacing w:after="0"/>
            </w:pPr>
            <w:r>
              <w:rPr>
                <w:rFonts w:ascii="游ゴシック" w:hAnsi="游ゴシック" w:eastAsia="游ゴシック"/>
                <w:b w:val="0"/>
                <w:sz w:val="18"/>
              </w:rPr>
              <w:t>登録施設介護支援等の利用者負担</w:t>
            </w:r>
          </w:p>
        </w:tc>
      </w:tr>
      <w:tr>
        <w:trPr>
          <w:cantSplit/>
        </w:trPr>
        <w:tc>
          <w:tcPr>
            <w:tcW w:type="dxa" w:w="9751"/>
            <w:shd w:val="clear" w:color="auto" w:fill="F2F5FA"/>
            <w:vAlign w:val="center"/>
          </w:tcPr>
          <w:p>
            <w:pPr>
              <w:keepNext/>
              <w:spacing w:after="0"/>
            </w:pPr>
            <w:r>
              <w:rPr>
                <w:rFonts w:ascii="游ゴシック" w:hAnsi="游ゴシック" w:eastAsia="游ゴシック"/>
                <w:b w:val="0"/>
                <w:sz w:val="18"/>
              </w:rPr>
              <w:t>「現役並み所得」の判断基準</w:t>
            </w:r>
          </w:p>
        </w:tc>
      </w:tr>
      <w:tr>
        <w:trPr>
          <w:cantSplit/>
        </w:trPr>
        <w:tc>
          <w:tcPr>
            <w:tcW w:type="dxa" w:w="9751"/>
            <w:vAlign w:val="center"/>
          </w:tcPr>
          <w:p>
            <w:pPr>
              <w:spacing w:after="0"/>
            </w:pPr>
            <w:r>
              <w:rPr>
                <w:rFonts w:ascii="游ゴシック" w:hAnsi="游ゴシック" w:eastAsia="游ゴシック"/>
                <w:b w:val="0"/>
                <w:sz w:val="18"/>
              </w:rPr>
              <w:t>被保険者範囲・受給者範囲</w:t>
            </w:r>
          </w:p>
        </w:tc>
      </w:tr>
    </w:tbl>
    <w:p>
      <w:pPr>
        <w:ind w:left="227"/>
      </w:pPr>
      <w:r>
        <w:rPr>
          <w:rFonts w:ascii="游ゴシック" w:hAnsi="游ゴシック" w:eastAsia="游ゴシック"/>
          <w:b w:val="0"/>
          <w:sz w:val="18"/>
        </w:rPr>
        <w:t>※ いずれも結論が示されていないため本計画に織り込んでいません。結論が示された時点で、影響が及ぶ箇所を再算定し又は記述を改めます。多床室の室料負担及び軽度者への生活援助サービス等の移行は給付費に、金融所得・金融資産の勘案及び「現役並み所得」の判断基準は所得段階に及び得るものです。</w:t>
      </w:r>
    </w:p>
    <w:p>
      <w:pPr>
        <w:keepNext/>
        <w:pageBreakBefore/>
        <w:spacing w:before="0" w:after="120"/>
      </w:pPr>
      <w:r>
        <w:rPr>
          <w:rFonts w:ascii="游ゴシック" w:hAnsi="游ゴシック" w:eastAsia="游ゴシック"/>
          <w:b/>
          <w:color w:val="1F3864"/>
          <w:sz w:val="26"/>
        </w:rPr>
        <w:t>第6節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表13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第7節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spacing w:after="80"/>
      </w:pPr>
      <w:r>
        <w:rPr>
          <w:rFonts w:ascii="游ゴシック" w:hAnsi="游ゴシック" w:eastAsia="游ゴシック"/>
          <w:b w:val="0"/>
          <w:sz w:val="20"/>
        </w:rPr>
        <w:t>3町共通で31件ありますが、会の所要に限りがあるため</w:t>
      </w:r>
      <w:r>
        <w:rPr>
          <w:rFonts w:ascii="游ゴシック" w:hAnsi="游ゴシック" w:eastAsia="游ゴシック"/>
          <w:b/>
          <w:sz w:val="20"/>
        </w:rPr>
        <w:t>この場でご決定をお願いしたいものをA群4件（計60分）に絞っています。</w:t>
      </w:r>
      <w:r>
        <w:rPr>
          <w:rFonts w:ascii="游ゴシック" w:hAnsi="游ゴシック" w:eastAsia="游ゴシック"/>
          <w:b w:val="0"/>
          <w:sz w:val="20"/>
        </w:rPr>
        <w:t xml:space="preserve"> B群4件（計20分）は時間があればご決定をお願いしたいもの、C群11件は当方の仮置きのまま第2次概算に進めるものです。A群・B群に挙げたものを含め、31件のすべてを4から6に掲げています。</w:t>
      </w:r>
    </w:p>
    <w:p>
      <w:pPr>
        <w:keepNext/>
        <w:spacing w:before="180" w:after="60"/>
      </w:pPr>
      <w:r>
        <w:rPr>
          <w:rFonts w:ascii="游ゴシック" w:hAnsi="游ゴシック" w:eastAsia="游ゴシック"/>
          <w:b/>
          <w:sz w:val="22"/>
        </w:rPr>
        <w:t>1　A群　この場でご決定をお願いしたいこと（4件・計60分）</w:t>
      </w:r>
    </w:p>
    <w:p>
      <w:pPr>
        <w:keepNext/>
        <w:spacing w:before="160" w:after="40"/>
      </w:pPr>
      <w:r>
        <w:rPr>
          <w:rFonts w:ascii="游ゴシック" w:hAnsi="游ゴシック" w:eastAsia="游ゴシック"/>
          <w:b/>
          <w:sz w:val="20"/>
        </w:rPr>
        <w:t>表14　A群　この場でご決定をお願いしたいこと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決めること</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目安</w:t>
            </w:r>
          </w:p>
        </w:tc>
      </w:tr>
      <w:tr>
        <w:trPr>
          <w:cantSplit/>
        </w:trPr>
        <w:tc>
          <w:tcPr>
            <w:tcW w:type="dxa" w:w="680"/>
            <w:vAlign w:val="center"/>
          </w:tcPr>
          <w:p>
            <w:pPr>
              <w:keepNext/>
              <w:spacing w:after="0"/>
              <w:jc w:val="center"/>
            </w:pPr>
            <w:r>
              <w:rPr>
                <w:rFonts w:ascii="游ゴシック" w:hAnsi="游ゴシック" w:eastAsia="游ゴシック"/>
                <w:b/>
                <w:sz w:val="18"/>
              </w:rPr>
              <w:t>A1</w:t>
            </w:r>
          </w:p>
        </w:tc>
        <w:tc>
          <w:tcPr>
            <w:tcW w:type="dxa" w:w="3969"/>
            <w:vAlign w:val="center"/>
          </w:tcPr>
          <w:p>
            <w:pPr>
              <w:keepNext/>
              <w:spacing w:after="0"/>
            </w:pPr>
            <w:r>
              <w:rPr>
                <w:rFonts w:ascii="游ゴシック" w:hAnsi="游ゴシック" w:eastAsia="游ゴシック"/>
                <w:b w:val="0"/>
                <w:sz w:val="18"/>
              </w:rPr>
              <w:t>日常生活圏域ごとの必要利用定員総数と施設整備の方針</w:t>
            </w:r>
          </w:p>
        </w:tc>
        <w:tc>
          <w:tcPr>
            <w:tcW w:type="dxa" w:w="2494"/>
            <w:vAlign w:val="center"/>
          </w:tcPr>
          <w:p>
            <w:pPr>
              <w:keepNext/>
              <w:spacing w:after="0"/>
            </w:pPr>
            <w:r>
              <w:rPr>
                <w:rFonts w:ascii="游ゴシック" w:hAnsi="游ゴシック" w:eastAsia="游ゴシック"/>
                <w:b w:val="0"/>
                <w:sz w:val="18"/>
              </w:rPr>
              <w:t>No.88・No.96・No.23</w:t>
            </w:r>
          </w:p>
        </w:tc>
        <w:tc>
          <w:tcPr>
            <w:tcW w:type="dxa" w:w="1247"/>
            <w:vAlign w:val="center"/>
          </w:tcPr>
          <w:p>
            <w:pPr>
              <w:keepNext/>
              <w:spacing w:after="0"/>
              <w:jc w:val="center"/>
            </w:pPr>
            <w:r>
              <w:rPr>
                <w:rFonts w:ascii="游ゴシック" w:hAnsi="游ゴシック" w:eastAsia="游ゴシック"/>
                <w:b w:val="0"/>
                <w:sz w:val="18"/>
              </w:rPr>
              <w:t>①③④</w:t>
            </w:r>
          </w:p>
        </w:tc>
        <w:tc>
          <w:tcPr>
            <w:tcW w:type="dxa" w:w="907"/>
            <w:vAlign w:val="center"/>
          </w:tcPr>
          <w:p>
            <w:pPr>
              <w:keepNext/>
              <w:spacing w:after="0"/>
              <w:jc w:val="center"/>
            </w:pPr>
            <w:r>
              <w:rPr>
                <w:rFonts w:ascii="游ゴシック" w:hAnsi="游ゴシック" w:eastAsia="游ゴシック"/>
                <w:b/>
                <w:sz w:val="18"/>
              </w:rPr>
              <w:t>20分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A2</w:t>
            </w:r>
          </w:p>
        </w:tc>
        <w:tc>
          <w:tcPr>
            <w:tcW w:type="dxa" w:w="3969"/>
            <w:shd w:val="clear" w:color="auto" w:fill="F2F5FA"/>
            <w:vAlign w:val="center"/>
          </w:tcPr>
          <w:p>
            <w:pPr>
              <w:keepNext/>
              <w:spacing w:after="0"/>
            </w:pPr>
            <w:r>
              <w:rPr>
                <w:rFonts w:ascii="游ゴシック" w:hAnsi="游ゴシック" w:eastAsia="游ゴシック"/>
                <w:b w:val="0"/>
                <w:sz w:val="18"/>
              </w:rPr>
              <w:t>サービス見込量の置き方（供給の制約・令和9年4月新設の区分・施設及び居住系の実績の減少）</w:t>
            </w:r>
          </w:p>
        </w:tc>
        <w:tc>
          <w:tcPr>
            <w:tcW w:type="dxa" w:w="2494"/>
            <w:shd w:val="clear" w:color="auto" w:fill="F2F5FA"/>
            <w:vAlign w:val="center"/>
          </w:tcPr>
          <w:p>
            <w:pPr>
              <w:keepNext/>
              <w:spacing w:after="0"/>
            </w:pPr>
            <w:r>
              <w:rPr>
                <w:rFonts w:ascii="游ゴシック" w:hAnsi="游ゴシック" w:eastAsia="游ゴシック"/>
                <w:b w:val="0"/>
                <w:sz w:val="18"/>
              </w:rPr>
              <w:t>No.116・No.115・No.107</w:t>
            </w:r>
          </w:p>
        </w:tc>
        <w:tc>
          <w:tcPr>
            <w:tcW w:type="dxa" w:w="1247"/>
            <w:shd w:val="clear" w:color="auto" w:fill="F2F5FA"/>
            <w:vAlign w:val="center"/>
          </w:tcPr>
          <w:p>
            <w:pPr>
              <w:keepNext/>
              <w:spacing w:after="0"/>
              <w:jc w:val="center"/>
            </w:pPr>
            <w:r>
              <w:rPr>
                <w:rFonts w:ascii="游ゴシック" w:hAnsi="游ゴシック" w:eastAsia="游ゴシック"/>
                <w:b w:val="0"/>
                <w:sz w:val="18"/>
              </w:rPr>
              <w:t>①②④</w:t>
            </w:r>
          </w:p>
        </w:tc>
        <w:tc>
          <w:tcPr>
            <w:tcW w:type="dxa" w:w="907"/>
            <w:shd w:val="clear" w:color="auto" w:fill="F2F5FA"/>
            <w:vAlign w:val="center"/>
          </w:tcPr>
          <w:p>
            <w:pPr>
              <w:keepNext/>
              <w:spacing w:after="0"/>
              <w:jc w:val="center"/>
            </w:pPr>
            <w:r>
              <w:rPr>
                <w:rFonts w:ascii="游ゴシック" w:hAnsi="游ゴシック" w:eastAsia="游ゴシック"/>
                <w:b/>
                <w:sz w:val="18"/>
              </w:rPr>
              <w:t>15分</w:t>
            </w:r>
          </w:p>
        </w:tc>
      </w:tr>
      <w:tr>
        <w:trPr>
          <w:cantSplit/>
        </w:trPr>
        <w:tc>
          <w:tcPr>
            <w:tcW w:type="dxa" w:w="680"/>
            <w:vAlign w:val="center"/>
          </w:tcPr>
          <w:p>
            <w:pPr>
              <w:keepNext/>
              <w:spacing w:after="0"/>
              <w:jc w:val="center"/>
            </w:pPr>
            <w:r>
              <w:rPr>
                <w:rFonts w:ascii="游ゴシック" w:hAnsi="游ゴシック" w:eastAsia="游ゴシック"/>
                <w:b/>
                <w:sz w:val="18"/>
              </w:rPr>
              <w:t>A3</w:t>
            </w:r>
          </w:p>
        </w:tc>
        <w:tc>
          <w:tcPr>
            <w:tcW w:type="dxa" w:w="3969"/>
            <w:vAlign w:val="center"/>
          </w:tcPr>
          <w:p>
            <w:pPr>
              <w:keepNext/>
              <w:spacing w:after="0"/>
            </w:pPr>
            <w:r>
              <w:rPr>
                <w:rFonts w:ascii="游ゴシック" w:hAnsi="游ゴシック" w:eastAsia="游ゴシック"/>
                <w:b w:val="0"/>
                <w:sz w:val="18"/>
              </w:rPr>
              <w:t>市町村認知症施策推進計画と地域ケア会議の計数</w:t>
            </w:r>
          </w:p>
        </w:tc>
        <w:tc>
          <w:tcPr>
            <w:tcW w:type="dxa" w:w="2494"/>
            <w:vAlign w:val="center"/>
          </w:tcPr>
          <w:p>
            <w:pPr>
              <w:keepNext/>
              <w:spacing w:after="0"/>
            </w:pPr>
            <w:r>
              <w:rPr>
                <w:rFonts w:ascii="游ゴシック" w:hAnsi="游ゴシック" w:eastAsia="游ゴシック"/>
                <w:b w:val="0"/>
                <w:sz w:val="18"/>
              </w:rPr>
              <w:t>No.130・No.121・No.119・No.120</w:t>
            </w:r>
          </w:p>
        </w:tc>
        <w:tc>
          <w:tcPr>
            <w:tcW w:type="dxa" w:w="1247"/>
            <w:vAlign w:val="center"/>
          </w:tcPr>
          <w:p>
            <w:pPr>
              <w:keepNext/>
              <w:spacing w:after="0"/>
              <w:jc w:val="center"/>
            </w:pPr>
            <w:r>
              <w:rPr>
                <w:rFonts w:ascii="游ゴシック" w:hAnsi="游ゴシック" w:eastAsia="游ゴシック"/>
                <w:b w:val="0"/>
                <w:sz w:val="18"/>
              </w:rPr>
              <w:t>①③</w:t>
            </w:r>
          </w:p>
        </w:tc>
        <w:tc>
          <w:tcPr>
            <w:tcW w:type="dxa" w:w="907"/>
            <w:vAlign w:val="center"/>
          </w:tcPr>
          <w:p>
            <w:pPr>
              <w:keepNext/>
              <w:spacing w:after="0"/>
              <w:jc w:val="center"/>
            </w:pPr>
            <w:r>
              <w:rPr>
                <w:rFonts w:ascii="游ゴシック" w:hAnsi="游ゴシック" w:eastAsia="游ゴシック"/>
                <w:b/>
                <w:sz w:val="18"/>
              </w:rPr>
              <w:t>15分</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A4</w:t>
            </w:r>
          </w:p>
        </w:tc>
        <w:tc>
          <w:tcPr>
            <w:tcW w:type="dxa" w:w="3969"/>
            <w:shd w:val="clear" w:color="auto" w:fill="F2F5FA"/>
            <w:vAlign w:val="center"/>
          </w:tcPr>
          <w:p>
            <w:pPr>
              <w:keepNext/>
              <w:spacing w:after="0"/>
            </w:pPr>
            <w:r>
              <w:rPr>
                <w:rFonts w:ascii="游ゴシック" w:hAnsi="游ゴシック" w:eastAsia="游ゴシック"/>
                <w:b w:val="0"/>
                <w:sz w:val="18"/>
              </w:rPr>
              <w:t>町別のデータと町別データシートの配付、協議の進め方</w:t>
            </w:r>
          </w:p>
        </w:tc>
        <w:tc>
          <w:tcPr>
            <w:tcW w:type="dxa" w:w="2494"/>
            <w:shd w:val="clear" w:color="auto" w:fill="F2F5FA"/>
            <w:vAlign w:val="center"/>
          </w:tcPr>
          <w:p>
            <w:pPr>
              <w:keepNext/>
              <w:spacing w:after="0"/>
            </w:pPr>
            <w:r>
              <w:rPr>
                <w:rFonts w:ascii="游ゴシック" w:hAnsi="游ゴシック" w:eastAsia="游ゴシック"/>
                <w:b w:val="0"/>
                <w:sz w:val="18"/>
              </w:rPr>
              <w:t>No.11・No.12・No.85・No.83</w:t>
            </w:r>
          </w:p>
        </w:tc>
        <w:tc>
          <w:tcPr>
            <w:tcW w:type="dxa" w:w="1247"/>
            <w:shd w:val="clear" w:color="auto" w:fill="F2F5FA"/>
            <w:vAlign w:val="center"/>
          </w:tcPr>
          <w:p>
            <w:pPr>
              <w:keepNext/>
              <w:spacing w:after="0"/>
              <w:jc w:val="center"/>
            </w:pPr>
            <w:r>
              <w:rPr>
                <w:rFonts w:ascii="游ゴシック" w:hAnsi="游ゴシック" w:eastAsia="游ゴシック"/>
                <w:b w:val="0"/>
                <w:sz w:val="18"/>
              </w:rPr>
              <w:t>①④</w:t>
            </w:r>
          </w:p>
        </w:tc>
        <w:tc>
          <w:tcPr>
            <w:tcW w:type="dxa" w:w="907"/>
            <w:shd w:val="clear" w:color="auto" w:fill="F2F5FA"/>
            <w:vAlign w:val="center"/>
          </w:tcPr>
          <w:p>
            <w:pPr>
              <w:keepNext/>
              <w:spacing w:after="0"/>
              <w:jc w:val="center"/>
            </w:pPr>
            <w:r>
              <w:rPr>
                <w:rFonts w:ascii="游ゴシック" w:hAnsi="游ゴシック" w:eastAsia="游ゴシック"/>
                <w:b/>
                <w:sz w:val="18"/>
              </w:rPr>
              <w:t>10分</w:t>
            </w:r>
          </w:p>
        </w:tc>
      </w:tr>
      <w:tr>
        <w:trPr>
          <w:cantSplit/>
        </w:trPr>
        <w:tc>
          <w:tcPr>
            <w:tcW w:type="dxa" w:w="680"/>
            <w:vAlign w:val="center"/>
          </w:tcPr>
          <w:p>
            <w:pPr>
              <w:spacing w:after="0"/>
              <w:jc w:val="center"/>
            </w:pPr>
            <w:r>
              <w:rPr>
                <w:rFonts w:ascii="游ゴシック" w:hAnsi="游ゴシック" w:eastAsia="游ゴシック"/>
                <w:b/>
                <w:sz w:val="18"/>
              </w:rPr>
              <w:t>計</w:t>
            </w:r>
          </w:p>
        </w:tc>
        <w:tc>
          <w:tcPr>
            <w:tcW w:type="dxa" w:w="3969"/>
            <w:vAlign w:val="center"/>
          </w:tcPr>
          <w:p>
            <w:pPr>
              <w:spacing w:after="0"/>
            </w:pPr>
            <w:r>
              <w:rPr>
                <w:rFonts w:ascii="游ゴシック" w:hAnsi="游ゴシック" w:eastAsia="游ゴシック"/>
                <w:sz w:val="18"/>
              </w:rPr>
            </w:r>
          </w:p>
        </w:tc>
        <w:tc>
          <w:tcPr>
            <w:tcW w:type="dxa" w:w="2494"/>
            <w:vAlign w:val="center"/>
          </w:tcPr>
          <w:p>
            <w:pPr>
              <w:spacing w:after="0"/>
            </w:pPr>
            <w:r>
              <w:rPr>
                <w:rFonts w:ascii="游ゴシック" w:hAnsi="游ゴシック" w:eastAsia="游ゴシック"/>
                <w:sz w:val="18"/>
              </w:rPr>
            </w:r>
          </w:p>
        </w:tc>
        <w:tc>
          <w:tcPr>
            <w:tcW w:type="dxa" w:w="1247"/>
            <w:vAlign w:val="center"/>
          </w:tcPr>
          <w:p>
            <w:pPr>
              <w:spacing w:after="0"/>
              <w:jc w:val="center"/>
            </w:pPr>
            <w:r>
              <w:rPr>
                <w:rFonts w:ascii="游ゴシック" w:hAnsi="游ゴシック" w:eastAsia="游ゴシック"/>
                <w:sz w:val="18"/>
              </w:rPr>
            </w:r>
          </w:p>
        </w:tc>
        <w:tc>
          <w:tcPr>
            <w:tcW w:type="dxa" w:w="907"/>
            <w:vAlign w:val="center"/>
          </w:tcPr>
          <w:p>
            <w:pPr>
              <w:spacing w:after="0"/>
              <w:jc w:val="center"/>
            </w:pPr>
            <w:r>
              <w:rPr>
                <w:rFonts w:ascii="游ゴシック" w:hAnsi="游ゴシック" w:eastAsia="游ゴシック"/>
                <w:b/>
                <w:sz w:val="18"/>
              </w:rPr>
              <w:t>60分</w:t>
            </w:r>
          </w:p>
        </w:tc>
      </w:tr>
    </w:tbl>
    <w:p>
      <w:pPr>
        <w:spacing w:after="80"/>
      </w:pPr>
      <w:r>
        <w:rPr>
          <w:rFonts w:ascii="游ゴシック" w:hAnsi="游ゴシック" w:eastAsia="游ゴシック"/>
          <w:b/>
          <w:sz w:val="20"/>
        </w:rPr>
        <w:t>A1　日常生活圏域ごとの必要利用定員総数と施設整備の方針（No.88・No.96・No.23。①③④　20分）</w:t>
      </w:r>
    </w:p>
    <w:p>
      <w:pPr>
        <w:spacing w:after="80"/>
      </w:pPr>
      <w:r>
        <w:rPr>
          <w:rFonts w:ascii="游ゴシック" w:hAnsi="游ゴシック" w:eastAsia="游ゴシック"/>
          <w:b/>
          <w:sz w:val="20"/>
        </w:rPr>
        <w:t>介護保険法第117条第2項第1号の法定記載事項であり、記載を落とすことができません。</w:t>
      </w:r>
      <w:r>
        <w:rPr>
          <w:rFonts w:ascii="游ゴシック" w:hAnsi="游ゴシック" w:eastAsia="游ゴシック"/>
          <w:b w:val="0"/>
          <w:sz w:val="20"/>
        </w:rPr>
        <w:t xml:space="preserve"> 計画素案の未確定箇所は第6章第4節（施設の見込み）に最も多く集中しており、基盤整備の単位と3町の整備の方針が決まればその大半が解消します。認知症対応型共同生活介護の圏域別定員は、共同生活住居数と1事業所の定員が未確定であるため算定できません。</w:t>
      </w:r>
    </w:p>
    <w:p>
      <w:pPr>
        <w:keepNext/>
        <w:spacing w:before="160" w:after="40"/>
      </w:pPr>
      <w:r>
        <w:rPr>
          <w:rFonts w:ascii="游ゴシック" w:hAnsi="游ゴシック" w:eastAsia="游ゴシック"/>
          <w:b/>
          <w:sz w:val="20"/>
        </w:rPr>
        <w:t>表15　A1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No.88</w:t>
            </w:r>
          </w:p>
        </w:tc>
        <w:tc>
          <w:tcPr>
            <w:tcW w:type="dxa" w:w="2948"/>
            <w:vAlign w:val="center"/>
          </w:tcPr>
          <w:p>
            <w:pPr>
              <w:keepNext/>
              <w:spacing w:after="0"/>
            </w:pPr>
            <w:r>
              <w:rPr>
                <w:rFonts w:ascii="游ゴシック" w:hAnsi="游ゴシック" w:eastAsia="游ゴシック"/>
                <w:b w:val="0"/>
                <w:sz w:val="18"/>
              </w:rPr>
              <w:t>日常生活圏域ごとの必要利用定員総数（法定記載事項）</w:t>
            </w:r>
          </w:p>
        </w:tc>
        <w:tc>
          <w:tcPr>
            <w:tcW w:type="dxa" w:w="6009"/>
            <w:vAlign w:val="center"/>
          </w:tcPr>
          <w:p>
            <w:pPr>
              <w:keepNext/>
              <w:spacing w:after="0"/>
            </w:pPr>
            <w:r>
              <w:rPr>
                <w:rFonts w:ascii="游ゴシック" w:hAnsi="游ゴシック" w:eastAsia="游ゴシック"/>
                <w:b w:val="0"/>
                <w:sz w:val="18"/>
              </w:rPr>
              <w:t>3町（3圏域）を基盤整備単位とする案のまま概算する。必要利用定員総数は［要協議］のまま残す</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No.96</w:t>
            </w:r>
          </w:p>
        </w:tc>
        <w:tc>
          <w:tcPr>
            <w:tcW w:type="dxa" w:w="2948"/>
            <w:shd w:val="clear" w:color="auto" w:fill="F2F5FA"/>
            <w:vAlign w:val="center"/>
          </w:tcPr>
          <w:p>
            <w:pPr>
              <w:keepNext/>
              <w:spacing w:after="0"/>
            </w:pPr>
            <w:r>
              <w:rPr>
                <w:rFonts w:ascii="游ゴシック" w:hAnsi="游ゴシック" w:eastAsia="游ゴシック"/>
                <w:b w:val="0"/>
                <w:sz w:val="18"/>
              </w:rPr>
              <w:t>認知症対応型共同生活介護の共同生活住居数と、くるみの郷の定員</w:t>
            </w:r>
          </w:p>
        </w:tc>
        <w:tc>
          <w:tcPr>
            <w:tcW w:type="dxa" w:w="6009"/>
            <w:shd w:val="clear" w:color="auto" w:fill="F2F5FA"/>
            <w:vAlign w:val="center"/>
          </w:tcPr>
          <w:p>
            <w:pPr>
              <w:keepNext/>
              <w:spacing w:after="0"/>
            </w:pPr>
            <w:r>
              <w:rPr>
                <w:rFonts w:ascii="游ゴシック" w:hAnsi="游ゴシック" w:eastAsia="游ゴシック"/>
                <w:b w:val="0"/>
                <w:sz w:val="18"/>
              </w:rPr>
              <w:t>認知症対応型共同生活介護の定員は99人＋［要確認］のまま掲げる</w:t>
            </w:r>
          </w:p>
        </w:tc>
      </w:tr>
      <w:tr>
        <w:trPr>
          <w:cantSplit/>
        </w:trPr>
        <w:tc>
          <w:tcPr>
            <w:tcW w:type="dxa" w:w="794"/>
            <w:vAlign w:val="center"/>
          </w:tcPr>
          <w:p>
            <w:pPr>
              <w:spacing w:after="0"/>
              <w:jc w:val="center"/>
            </w:pPr>
            <w:r>
              <w:rPr>
                <w:rFonts w:ascii="游ゴシック" w:hAnsi="游ゴシック" w:eastAsia="游ゴシック"/>
                <w:b w:val="0"/>
                <w:sz w:val="18"/>
              </w:rPr>
              <w:t>No.23</w:t>
            </w:r>
          </w:p>
        </w:tc>
        <w:tc>
          <w:tcPr>
            <w:tcW w:type="dxa" w:w="2948"/>
            <w:vAlign w:val="center"/>
          </w:tcPr>
          <w:p>
            <w:pPr>
              <w:spacing w:after="0"/>
            </w:pPr>
            <w:r>
              <w:rPr>
                <w:rFonts w:ascii="游ゴシック" w:hAnsi="游ゴシック" w:eastAsia="游ゴシック"/>
                <w:b w:val="0"/>
                <w:sz w:val="18"/>
              </w:rPr>
              <w:t>事業所の定員・稼働率データ</w:t>
            </w:r>
          </w:p>
        </w:tc>
        <w:tc>
          <w:tcPr>
            <w:tcW w:type="dxa" w:w="6009"/>
            <w:vAlign w:val="center"/>
          </w:tcPr>
          <w:p>
            <w:pPr>
              <w:spacing w:after="0"/>
            </w:pPr>
            <w:r>
              <w:rPr>
                <w:rFonts w:ascii="游ゴシック" w:hAnsi="游ゴシック" w:eastAsia="游ゴシック"/>
                <w:b w:val="0"/>
                <w:sz w:val="18"/>
              </w:rPr>
              <w:t>北海道の各名簿及び介護サービス情報公表システムの定員による</w:t>
            </w:r>
          </w:p>
        </w:tc>
      </w:tr>
    </w:tbl>
    <w:p>
      <w:pPr>
        <w:spacing w:after="80"/>
      </w:pPr>
      <w:r>
        <w:rPr>
          <w:rFonts w:ascii="游ゴシック" w:hAnsi="游ゴシック" w:eastAsia="游ゴシック"/>
          <w:b/>
          <w:sz w:val="20"/>
        </w:rPr>
        <w:t>A2　サービス見込量の置き方（供給の制約・令和9年4月新設の区分・施設及び居住系の実績の減少）（No.116・No.115・No.107。①②④　15分）</w:t>
      </w:r>
    </w:p>
    <w:p>
      <w:pPr>
        <w:spacing w:after="80"/>
      </w:pPr>
      <w:r>
        <w:rPr>
          <w:rFonts w:ascii="游ゴシック" w:hAnsi="游ゴシック" w:eastAsia="游ゴシック"/>
          <w:b/>
          <w:sz w:val="20"/>
        </w:rPr>
        <w:t>第2次概算（令和8年10月30日）の前提になります。</w:t>
      </w:r>
      <w:r>
        <w:rPr>
          <w:rFonts w:ascii="游ゴシック" w:hAnsi="游ゴシック" w:eastAsia="游ゴシック"/>
          <w:b w:val="0"/>
          <w:sz w:val="20"/>
        </w:rPr>
        <w:t xml:space="preserve"> 現在の見込量は需要の推計であり、介護人材の確保状況を供給の制約として反映していません。施設及び居住系の実績の減少には定員の縮小が含まれるため、趨勢をそのまま将来へ延長していません。いずれも</w:t>
      </w:r>
      <w:r>
        <w:rPr>
          <w:rFonts w:ascii="游ゴシック" w:hAnsi="游ゴシック" w:eastAsia="游ゴシック"/>
          <w:b/>
          <w:sz w:val="20"/>
        </w:rPr>
        <w:t>安全側</w:t>
      </w:r>
      <w:r>
        <w:rPr>
          <w:rFonts w:ascii="游ゴシック" w:hAnsi="游ゴシック" w:eastAsia="游ゴシック"/>
          <w:b w:val="0"/>
          <w:sz w:val="20"/>
        </w:rPr>
        <w:t>（保険料が不足する側に誤らない向き）の置き方です。</w:t>
      </w:r>
    </w:p>
    <w:p>
      <w:pPr>
        <w:keepNext/>
        <w:spacing w:before="160" w:after="40"/>
      </w:pPr>
      <w:r>
        <w:rPr>
          <w:rFonts w:ascii="游ゴシック" w:hAnsi="游ゴシック" w:eastAsia="游ゴシック"/>
          <w:b/>
          <w:sz w:val="20"/>
        </w:rPr>
        <w:t>表16　A2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No.116</w:t>
            </w:r>
          </w:p>
        </w:tc>
        <w:tc>
          <w:tcPr>
            <w:tcW w:type="dxa" w:w="2948"/>
            <w:vAlign w:val="center"/>
          </w:tcPr>
          <w:p>
            <w:pPr>
              <w:keepNext/>
              <w:spacing w:after="0"/>
            </w:pPr>
            <w:r>
              <w:rPr>
                <w:rFonts w:ascii="游ゴシック" w:hAnsi="游ゴシック" w:eastAsia="游ゴシック"/>
                <w:b w:val="0"/>
                <w:sz w:val="18"/>
              </w:rPr>
              <w:t>介護人材の確保状況を供給の制約として見込量に反映するか</w:t>
            </w:r>
          </w:p>
        </w:tc>
        <w:tc>
          <w:tcPr>
            <w:tcW w:type="dxa" w:w="6009"/>
            <w:vAlign w:val="center"/>
          </w:tcPr>
          <w:p>
            <w:pPr>
              <w:keepNext/>
              <w:spacing w:after="0"/>
            </w:pPr>
            <w:r>
              <w:rPr>
                <w:rFonts w:ascii="游ゴシック" w:hAnsi="游ゴシック" w:eastAsia="游ゴシック"/>
                <w:b w:val="0"/>
                <w:sz w:val="18"/>
              </w:rPr>
              <w:t>供給の制約（人材）を見込量に反映しない（需要のみで算定する）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No.115</w:t>
            </w:r>
          </w:p>
        </w:tc>
        <w:tc>
          <w:tcPr>
            <w:tcW w:type="dxa" w:w="2948"/>
            <w:shd w:val="clear" w:color="auto" w:fill="F2F5FA"/>
            <w:vAlign w:val="center"/>
          </w:tcPr>
          <w:p>
            <w:pPr>
              <w:keepNext/>
              <w:spacing w:after="0"/>
            </w:pPr>
            <w:r>
              <w:rPr>
                <w:rFonts w:ascii="游ゴシック" w:hAnsi="游ゴシック" w:eastAsia="游ゴシック"/>
                <w:b w:val="0"/>
                <w:sz w:val="18"/>
              </w:rPr>
              <w:t>令和9年4月に新設される区分を見込量に立てるか</w:t>
            </w:r>
          </w:p>
        </w:tc>
        <w:tc>
          <w:tcPr>
            <w:tcW w:type="dxa" w:w="6009"/>
            <w:shd w:val="clear" w:color="auto" w:fill="F2F5FA"/>
            <w:vAlign w:val="center"/>
          </w:tcPr>
          <w:p>
            <w:pPr>
              <w:keepNext/>
              <w:spacing w:after="0"/>
            </w:pPr>
            <w:r>
              <w:rPr>
                <w:rFonts w:ascii="游ゴシック" w:hAnsi="游ゴシック" w:eastAsia="游ゴシック"/>
                <w:b w:val="0"/>
                <w:sz w:val="18"/>
              </w:rPr>
              <w:t>令和9年4月新設の3区分を0として立てる</w:t>
            </w:r>
          </w:p>
        </w:tc>
      </w:tr>
      <w:tr>
        <w:trPr>
          <w:cantSplit/>
        </w:trPr>
        <w:tc>
          <w:tcPr>
            <w:tcW w:type="dxa" w:w="794"/>
            <w:vAlign w:val="center"/>
          </w:tcPr>
          <w:p>
            <w:pPr>
              <w:spacing w:after="0"/>
              <w:jc w:val="center"/>
            </w:pPr>
            <w:r>
              <w:rPr>
                <w:rFonts w:ascii="游ゴシック" w:hAnsi="游ゴシック" w:eastAsia="游ゴシック"/>
                <w:b w:val="0"/>
                <w:sz w:val="18"/>
              </w:rPr>
              <w:t>No.107</w:t>
            </w:r>
          </w:p>
        </w:tc>
        <w:tc>
          <w:tcPr>
            <w:tcW w:type="dxa" w:w="2948"/>
            <w:vAlign w:val="center"/>
          </w:tcPr>
          <w:p>
            <w:pPr>
              <w:spacing w:after="0"/>
            </w:pPr>
            <w:r>
              <w:rPr>
                <w:rFonts w:ascii="游ゴシック" w:hAnsi="游ゴシック" w:eastAsia="游ゴシック"/>
                <w:b w:val="0"/>
                <w:sz w:val="18"/>
              </w:rPr>
              <w:t>施設・居住系の実績の減少を将来へ延長するか</w:t>
            </w:r>
          </w:p>
        </w:tc>
        <w:tc>
          <w:tcPr>
            <w:tcW w:type="dxa" w:w="6009"/>
            <w:vAlign w:val="center"/>
          </w:tcPr>
          <w:p>
            <w:pPr>
              <w:spacing w:after="0"/>
            </w:pPr>
            <w:r>
              <w:rPr>
                <w:rFonts w:ascii="游ゴシック" w:hAnsi="游ゴシック" w:eastAsia="游ゴシック"/>
                <w:b w:val="0"/>
                <w:sz w:val="18"/>
              </w:rPr>
              <w:t>施設・居住系の実績の減少を将来へ延長しないまま概算する</w:t>
            </w:r>
          </w:p>
        </w:tc>
      </w:tr>
    </w:tbl>
    <w:p>
      <w:pPr>
        <w:spacing w:after="80"/>
      </w:pPr>
      <w:r>
        <w:rPr>
          <w:rFonts w:ascii="游ゴシック" w:hAnsi="游ゴシック" w:eastAsia="游ゴシック"/>
          <w:b/>
          <w:sz w:val="20"/>
        </w:rPr>
        <w:t>A3　市町村認知症施策推進計画と地域ケア会議の計数（No.130・No.121・No.119・No.120。①③　15分）</w:t>
      </w:r>
    </w:p>
    <w:p>
      <w:pPr>
        <w:spacing w:after="80"/>
      </w:pPr>
      <w:r>
        <w:rPr>
          <w:rFonts w:ascii="游ゴシック" w:hAnsi="游ゴシック" w:eastAsia="游ゴシック"/>
          <w:b/>
          <w:sz w:val="20"/>
        </w:rPr>
        <w:t>市町村認知症施策推進計画は3町がそれぞれ策定するものであり、広域連合の計画に一体のものとして定めても市町村計画としての効力は生じません。</w:t>
      </w:r>
      <w:r>
        <w:rPr>
          <w:rFonts w:ascii="游ゴシック" w:hAnsi="游ゴシック" w:eastAsia="游ゴシック"/>
          <w:b w:val="0"/>
          <w:sz w:val="20"/>
        </w:rPr>
        <w:t xml:space="preserve"> 認知症の人及びその家族等からの意見の聴取は記述の追加では満たされず、主体・方法・時期を定める必要があります。地域ケア会議は第9期評価で成果を測る指標がないと判定しており、代表指標の基準値を置くために3町共通の計数の仕方を要します。</w:t>
      </w:r>
    </w:p>
    <w:p>
      <w:pPr>
        <w:keepNext/>
        <w:spacing w:before="160" w:after="40"/>
      </w:pPr>
      <w:r>
        <w:rPr>
          <w:rFonts w:ascii="游ゴシック" w:hAnsi="游ゴシック" w:eastAsia="游ゴシック"/>
          <w:b/>
          <w:sz w:val="20"/>
        </w:rPr>
        <w:t>表17　A3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2948"/>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6009"/>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No.121</w:t>
            </w:r>
          </w:p>
        </w:tc>
        <w:tc>
          <w:tcPr>
            <w:tcW w:type="dxa" w:w="2948"/>
            <w:shd w:val="clear" w:color="auto" w:fill="F2F5FA"/>
            <w:vAlign w:val="center"/>
          </w:tcPr>
          <w:p>
            <w:pPr>
              <w:keepNext/>
              <w:spacing w:after="0"/>
            </w:pPr>
            <w:r>
              <w:rPr>
                <w:rFonts w:ascii="游ゴシック" w:hAnsi="游ゴシック" w:eastAsia="游ゴシック"/>
                <w:b w:val="0"/>
                <w:sz w:val="18"/>
              </w:rPr>
              <w:t>3町の地域ケア会議の実績（令和6〜8年度）のご提供</w:t>
            </w:r>
          </w:p>
        </w:tc>
        <w:tc>
          <w:tcPr>
            <w:tcW w:type="dxa" w:w="6009"/>
            <w:shd w:val="clear" w:color="auto" w:fill="F2F5FA"/>
            <w:vAlign w:val="center"/>
          </w:tcPr>
          <w:p>
            <w:pPr>
              <w:keepNext/>
              <w:spacing w:after="0"/>
            </w:pPr>
            <w:r>
              <w:rPr>
                <w:rFonts w:ascii="游ゴシック" w:hAnsi="游ゴシック" w:eastAsia="游ゴシック"/>
                <w:b w:val="0"/>
                <w:sz w:val="18"/>
              </w:rPr>
              <w:t>令和7年度の実施報告書により把握できる範囲で記述する</w:t>
            </w:r>
          </w:p>
        </w:tc>
      </w:tr>
      <w:tr>
        <w:trPr>
          <w:cantSplit/>
        </w:trPr>
        <w:tc>
          <w:tcPr>
            <w:tcW w:type="dxa" w:w="794"/>
            <w:vAlign w:val="center"/>
          </w:tcPr>
          <w:p>
            <w:pPr>
              <w:keepNext/>
              <w:spacing w:after="0"/>
              <w:jc w:val="center"/>
            </w:pPr>
            <w:r>
              <w:rPr>
                <w:rFonts w:ascii="游ゴシック" w:hAnsi="游ゴシック" w:eastAsia="游ゴシック"/>
                <w:b w:val="0"/>
                <w:sz w:val="18"/>
              </w:rPr>
              <w:t>No.119</w:t>
            </w:r>
          </w:p>
        </w:tc>
        <w:tc>
          <w:tcPr>
            <w:tcW w:type="dxa" w:w="2948"/>
            <w:vAlign w:val="center"/>
          </w:tcPr>
          <w:p>
            <w:pPr>
              <w:keepNext/>
              <w:spacing w:after="0"/>
            </w:pPr>
            <w:r>
              <w:rPr>
                <w:rFonts w:ascii="游ゴシック" w:hAnsi="游ゴシック" w:eastAsia="游ゴシック"/>
                <w:b w:val="0"/>
                <w:sz w:val="18"/>
              </w:rPr>
              <w:t>地域ケア会議の3町共通の記録様式を整えてよいか</w:t>
            </w:r>
          </w:p>
        </w:tc>
        <w:tc>
          <w:tcPr>
            <w:tcW w:type="dxa" w:w="6009"/>
            <w:vAlign w:val="center"/>
          </w:tcPr>
          <w:p>
            <w:pPr>
              <w:keepNext/>
              <w:spacing w:after="0"/>
            </w:pPr>
            <w:r>
              <w:rPr>
                <w:rFonts w:ascii="游ゴシック" w:hAnsi="游ゴシック" w:eastAsia="游ゴシック"/>
                <w:b w:val="0"/>
                <w:sz w:val="18"/>
              </w:rPr>
              <w:t>地域ケア会議の記録様式は協議資料にとどめ、令和9年度に整える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No.120</w:t>
            </w:r>
          </w:p>
        </w:tc>
        <w:tc>
          <w:tcPr>
            <w:tcW w:type="dxa" w:w="2948"/>
            <w:shd w:val="clear" w:color="auto" w:fill="F2F5FA"/>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6009"/>
            <w:shd w:val="clear" w:color="auto" w:fill="F2F5FA"/>
            <w:vAlign w:val="center"/>
          </w:tcPr>
          <w:p>
            <w:pPr>
              <w:spacing w:after="0"/>
            </w:pPr>
            <w:r>
              <w:rPr>
                <w:rFonts w:ascii="游ゴシック" w:hAnsi="游ゴシック" w:eastAsia="游ゴシック"/>
                <w:b w:val="0"/>
                <w:sz w:val="18"/>
              </w:rPr>
              <w:t>地域ケア個別会議と地域ケア推進会議を分けずに計数する</w:t>
            </w:r>
          </w:p>
        </w:tc>
      </w:tr>
    </w:tbl>
    <w:p>
      <w:pPr>
        <w:spacing w:after="80"/>
      </w:pPr>
      <w:r>
        <w:rPr>
          <w:rFonts w:ascii="游ゴシック" w:hAnsi="游ゴシック" w:eastAsia="游ゴシック"/>
          <w:b/>
          <w:sz w:val="20"/>
        </w:rPr>
        <w:t>A4　町別のデータと町別データシートの配付、協議の進め方（No.11・No.12・No.85・No.83。①④　10分）</w:t>
      </w:r>
    </w:p>
    <w:p>
      <w:pPr>
        <w:spacing w:after="80"/>
      </w:pPr>
      <w:r>
        <w:rPr>
          <w:rFonts w:ascii="游ゴシック" w:hAnsi="游ゴシック" w:eastAsia="游ゴシック"/>
          <w:b w:val="0"/>
          <w:sz w:val="20"/>
        </w:rPr>
        <w:t>町別データシートは各町の高齢者福祉計画の素案作成にもお使いいただくものであり、</w:t>
      </w:r>
      <w:r>
        <w:rPr>
          <w:rFonts w:ascii="游ゴシック" w:hAnsi="游ゴシック" w:eastAsia="游ゴシック"/>
          <w:b/>
          <w:sz w:val="20"/>
        </w:rPr>
        <w:t>収める内容と配付の範囲をこの場でお決めいただければ個別協議の前にお渡しできます。</w:t>
      </w:r>
      <w:r>
        <w:rPr>
          <w:rFonts w:ascii="游ゴシック" w:hAnsi="游ゴシック" w:eastAsia="游ゴシック"/>
          <w:b w:val="0"/>
          <w:sz w:val="20"/>
        </w:rPr>
        <w:t xml:space="preserve"> 日常生活圏域を3町（3圏域）とするか美瑛町の4地区を含む6圏域とするかはA1の基盤整備の単位と一体のものです。</w:t>
      </w:r>
    </w:p>
    <w:p>
      <w:pPr>
        <w:keepNext/>
        <w:spacing w:before="160" w:after="40"/>
      </w:pPr>
      <w:r>
        <w:rPr>
          <w:rFonts w:ascii="游ゴシック" w:hAnsi="游ゴシック" w:eastAsia="游ゴシック"/>
          <w:b/>
          <w:sz w:val="20"/>
        </w:rPr>
        <w:t>表18　A4　決まらない場合の当方の扱い（仮置き）</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No.11</w:t>
            </w:r>
          </w:p>
        </w:tc>
        <w:tc>
          <w:tcPr>
            <w:tcW w:type="dxa" w:w="2948"/>
            <w:vAlign w:val="center"/>
          </w:tcPr>
          <w:p>
            <w:pPr>
              <w:keepNext/>
              <w:spacing w:after="0"/>
            </w:pPr>
            <w:r>
              <w:rPr>
                <w:rFonts w:ascii="游ゴシック" w:hAnsi="游ゴシック" w:eastAsia="游ゴシック"/>
                <w:b w:val="0"/>
                <w:sz w:val="18"/>
              </w:rPr>
              <w:t>町別の人口・世帯データ</w:t>
            </w:r>
          </w:p>
        </w:tc>
        <w:tc>
          <w:tcPr>
            <w:tcW w:type="dxa" w:w="6009"/>
            <w:vAlign w:val="center"/>
          </w:tcPr>
          <w:p>
            <w:pPr>
              <w:keepNext/>
              <w:spacing w:after="0"/>
            </w:pPr>
            <w:r>
              <w:rPr>
                <w:rFonts w:ascii="游ゴシック" w:hAnsi="游ゴシック" w:eastAsia="游ゴシック"/>
                <w:b w:val="0"/>
                <w:sz w:val="18"/>
              </w:rPr>
              <w:t>住民基本台帳（各年1月1日現在）の町別人口により本文を確定する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No.12</w:t>
            </w:r>
          </w:p>
        </w:tc>
        <w:tc>
          <w:tcPr>
            <w:tcW w:type="dxa" w:w="2948"/>
            <w:shd w:val="clear" w:color="auto" w:fill="F2F5FA"/>
            <w:vAlign w:val="center"/>
          </w:tcPr>
          <w:p>
            <w:pPr>
              <w:keepNext/>
              <w:spacing w:after="0"/>
            </w:pPr>
            <w:r>
              <w:rPr>
                <w:rFonts w:ascii="游ゴシック" w:hAnsi="游ゴシック" w:eastAsia="游ゴシック"/>
                <w:b w:val="0"/>
                <w:sz w:val="18"/>
              </w:rPr>
              <w:t>日常生活圏域別のデータ</w:t>
            </w:r>
          </w:p>
        </w:tc>
        <w:tc>
          <w:tcPr>
            <w:tcW w:type="dxa" w:w="6009"/>
            <w:shd w:val="clear" w:color="auto" w:fill="F2F5FA"/>
            <w:vAlign w:val="center"/>
          </w:tcPr>
          <w:p>
            <w:pPr>
              <w:keepNext/>
              <w:spacing w:after="0"/>
            </w:pPr>
            <w:r>
              <w:rPr>
                <w:rFonts w:ascii="游ゴシック" w:hAnsi="游ゴシック" w:eastAsia="游ゴシック"/>
                <w:b w:val="0"/>
                <w:sz w:val="18"/>
              </w:rPr>
              <w:t>日常生活圏域を3町（3圏域）とする案のまま概算する</w:t>
            </w:r>
          </w:p>
        </w:tc>
      </w:tr>
      <w:tr>
        <w:trPr>
          <w:cantSplit/>
        </w:trPr>
        <w:tc>
          <w:tcPr>
            <w:tcW w:type="dxa" w:w="794"/>
            <w:vAlign w:val="center"/>
          </w:tcPr>
          <w:p>
            <w:pPr>
              <w:keepNext/>
              <w:spacing w:after="0"/>
              <w:jc w:val="center"/>
            </w:pPr>
            <w:r>
              <w:rPr>
                <w:rFonts w:ascii="游ゴシック" w:hAnsi="游ゴシック" w:eastAsia="游ゴシック"/>
                <w:b w:val="0"/>
                <w:sz w:val="18"/>
              </w:rPr>
              <w:t>No.85</w:t>
            </w:r>
          </w:p>
        </w:tc>
        <w:tc>
          <w:tcPr>
            <w:tcW w:type="dxa" w:w="2948"/>
            <w:vAlign w:val="center"/>
          </w:tcPr>
          <w:p>
            <w:pPr>
              <w:keepNext/>
              <w:spacing w:after="0"/>
            </w:pPr>
            <w:r>
              <w:rPr>
                <w:rFonts w:ascii="游ゴシック" w:hAnsi="游ゴシック" w:eastAsia="游ゴシック"/>
                <w:b w:val="0"/>
                <w:sz w:val="18"/>
              </w:rPr>
              <w:t>町別データシートの内容と配付</w:t>
            </w:r>
          </w:p>
        </w:tc>
        <w:tc>
          <w:tcPr>
            <w:tcW w:type="dxa" w:w="6009"/>
            <w:vAlign w:val="center"/>
          </w:tcPr>
          <w:p>
            <w:pPr>
              <w:keepNext/>
              <w:spacing w:after="0"/>
            </w:pPr>
            <w:r>
              <w:rPr>
                <w:rFonts w:ascii="游ゴシック" w:hAnsi="游ゴシック" w:eastAsia="游ゴシック"/>
                <w:b w:val="0"/>
                <w:sz w:val="18"/>
              </w:rPr>
              <w:t>町別データシートは現行の内容のまま配付する</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6009"/>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r>
    </w:tbl>
    <w:p>
      <w:pPr>
        <w:keepNext/>
        <w:spacing w:before="180" w:after="60"/>
      </w:pPr>
      <w:r>
        <w:rPr>
          <w:rFonts w:ascii="游ゴシック" w:hAnsi="游ゴシック" w:eastAsia="游ゴシック"/>
          <w:b/>
          <w:sz w:val="22"/>
        </w:rPr>
        <w:t>2　B群　時間があればご決定をお願いしたいこと（4件・計20分）</w:t>
      </w:r>
    </w:p>
    <w:p>
      <w:pPr>
        <w:spacing w:after="80"/>
      </w:pPr>
      <w:r>
        <w:rPr>
          <w:rFonts w:ascii="游ゴシック" w:hAnsi="游ゴシック" w:eastAsia="游ゴシック"/>
          <w:b w:val="0"/>
          <w:sz w:val="20"/>
        </w:rPr>
        <w:t>A群が決まり時間に余裕がある場合にお諮りします。決まらない場合も第2次概算は仮置きにより組めます。</w:t>
      </w:r>
    </w:p>
    <w:p>
      <w:pPr>
        <w:keepNext/>
        <w:spacing w:before="160" w:after="40"/>
      </w:pPr>
      <w:r>
        <w:rPr>
          <w:rFonts w:ascii="游ゴシック" w:hAnsi="游ゴシック" w:eastAsia="游ゴシック"/>
          <w:b/>
          <w:sz w:val="20"/>
        </w:rPr>
        <w:t>表19　B群　時間があればご決定をお願いしたいこと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6"/>
              </w:rPr>
              <w:t>区分</w:t>
            </w:r>
          </w:p>
        </w:tc>
        <w:tc>
          <w:tcPr>
            <w:tcW w:type="dxa" w:w="2381"/>
            <w:shd w:val="clear" w:color="auto" w:fill="1F3864"/>
            <w:vAlign w:val="center"/>
          </w:tcPr>
          <w:p>
            <w:pPr>
              <w:spacing w:after="0"/>
              <w:jc w:val="center"/>
            </w:pPr>
            <w:r>
              <w:rPr>
                <w:rFonts w:ascii="游ゴシック" w:hAnsi="游ゴシック" w:eastAsia="游ゴシック"/>
                <w:b/>
                <w:color w:val="FFFFFF"/>
                <w:sz w:val="16"/>
              </w:rPr>
              <w:t>決めること</w:t>
            </w:r>
          </w:p>
        </w:tc>
        <w:tc>
          <w:tcPr>
            <w:tcW w:type="dxa" w:w="1474"/>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3969"/>
            <w:shd w:val="clear" w:color="auto" w:fill="1F3864"/>
            <w:vAlign w:val="center"/>
          </w:tcPr>
          <w:p>
            <w:pPr>
              <w:spacing w:after="0"/>
              <w:jc w:val="center"/>
            </w:pPr>
            <w:r>
              <w:rPr>
                <w:rFonts w:ascii="游ゴシック" w:hAnsi="游ゴシック" w:eastAsia="游ゴシック"/>
                <w:b/>
                <w:color w:val="FFFFFF"/>
                <w:sz w:val="16"/>
              </w:rPr>
              <w:t>決まらない場合の当方の扱い</w:t>
            </w:r>
          </w:p>
        </w:tc>
        <w:tc>
          <w:tcPr>
            <w:tcW w:type="dxa" w:w="907"/>
            <w:shd w:val="clear" w:color="auto" w:fill="1F3864"/>
            <w:vAlign w:val="center"/>
          </w:tcPr>
          <w:p>
            <w:pPr>
              <w:spacing w:after="0"/>
              <w:jc w:val="center"/>
            </w:pPr>
            <w:r>
              <w:rPr>
                <w:rFonts w:ascii="游ゴシック" w:hAnsi="游ゴシック" w:eastAsia="游ゴシック"/>
                <w:b/>
                <w:color w:val="FFFFFF"/>
                <w:sz w:val="16"/>
              </w:rPr>
              <w:t>目安</w:t>
            </w:r>
          </w:p>
        </w:tc>
      </w:tr>
      <w:tr>
        <w:trPr>
          <w:cantSplit/>
        </w:trPr>
        <w:tc>
          <w:tcPr>
            <w:tcW w:type="dxa" w:w="680"/>
            <w:vAlign w:val="center"/>
          </w:tcPr>
          <w:p>
            <w:pPr>
              <w:spacing w:after="0"/>
              <w:jc w:val="center"/>
            </w:pPr>
            <w:r>
              <w:rPr>
                <w:rFonts w:ascii="游ゴシック" w:hAnsi="游ゴシック" w:eastAsia="游ゴシック"/>
                <w:b/>
                <w:sz w:val="16"/>
              </w:rPr>
              <w:t>B1</w:t>
            </w:r>
          </w:p>
        </w:tc>
        <w:tc>
          <w:tcPr>
            <w:tcW w:type="dxa" w:w="2381"/>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1474"/>
            <w:vAlign w:val="center"/>
          </w:tcPr>
          <w:p>
            <w:pPr>
              <w:spacing w:after="0"/>
            </w:pPr>
            <w:r>
              <w:rPr>
                <w:rFonts w:ascii="游ゴシック" w:hAnsi="游ゴシック" w:eastAsia="游ゴシック"/>
                <w:b w:val="0"/>
                <w:sz w:val="16"/>
              </w:rPr>
              <w:t>No.175</w:t>
            </w:r>
          </w:p>
        </w:tc>
        <w:tc>
          <w:tcPr>
            <w:tcW w:type="dxa" w:w="3969"/>
            <w:vAlign w:val="center"/>
          </w:tcPr>
          <w:p>
            <w:pPr>
              <w:spacing w:after="0"/>
            </w:pPr>
            <w:r>
              <w:rPr>
                <w:rFonts w:ascii="游ゴシック" w:hAnsi="游ゴシック" w:eastAsia="游ゴシック"/>
                <w:b w:val="0"/>
                <w:sz w:val="16"/>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B2</w:t>
            </w:r>
          </w:p>
        </w:tc>
        <w:tc>
          <w:tcPr>
            <w:tcW w:type="dxa" w:w="2381"/>
            <w:shd w:val="clear" w:color="auto" w:fill="F2F5FA"/>
            <w:vAlign w:val="center"/>
          </w:tcPr>
          <w:p>
            <w:pPr>
              <w:spacing w:after="0"/>
            </w:pPr>
            <w:r>
              <w:rPr>
                <w:rFonts w:ascii="游ゴシック" w:hAnsi="游ゴシック" w:eastAsia="游ゴシック"/>
                <w:b w:val="0"/>
                <w:sz w:val="16"/>
              </w:rPr>
              <w:t>ケアプラン点検実施要領（案）の確定</w:t>
            </w:r>
          </w:p>
        </w:tc>
        <w:tc>
          <w:tcPr>
            <w:tcW w:type="dxa" w:w="1474"/>
            <w:shd w:val="clear" w:color="auto" w:fill="F2F5FA"/>
            <w:vAlign w:val="center"/>
          </w:tcPr>
          <w:p>
            <w:pPr>
              <w:spacing w:after="0"/>
            </w:pPr>
            <w:r>
              <w:rPr>
                <w:rFonts w:ascii="游ゴシック" w:hAnsi="游ゴシック" w:eastAsia="游ゴシック"/>
                <w:b w:val="0"/>
                <w:sz w:val="16"/>
              </w:rPr>
              <w:t>No.73</w:t>
            </w:r>
          </w:p>
        </w:tc>
        <w:tc>
          <w:tcPr>
            <w:tcW w:type="dxa" w:w="3969"/>
            <w:shd w:val="clear" w:color="auto" w:fill="F2F5FA"/>
            <w:vAlign w:val="center"/>
          </w:tcPr>
          <w:p>
            <w:pPr>
              <w:spacing w:after="0"/>
            </w:pPr>
            <w:r>
              <w:rPr>
                <w:rFonts w:ascii="游ゴシック" w:hAnsi="游ゴシック" w:eastAsia="游ゴシック"/>
                <w:b w:val="0"/>
                <w:sz w:val="16"/>
              </w:rPr>
              <w:t>ケアプラン点検実施要領（案）は協議資料にとどめ素案に入れない</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B3</w:t>
            </w:r>
          </w:p>
        </w:tc>
        <w:tc>
          <w:tcPr>
            <w:tcW w:type="dxa" w:w="2381"/>
            <w:vAlign w:val="center"/>
          </w:tcPr>
          <w:p>
            <w:pPr>
              <w:spacing w:after="0"/>
            </w:pPr>
            <w:r>
              <w:rPr>
                <w:rFonts w:ascii="游ゴシック" w:hAnsi="游ゴシック" w:eastAsia="游ゴシック"/>
                <w:b w:val="0"/>
                <w:sz w:val="16"/>
              </w:rPr>
              <w:t>構成町により得点が分かれている交付金の項目の区域内での取扱い</w:t>
            </w:r>
          </w:p>
        </w:tc>
        <w:tc>
          <w:tcPr>
            <w:tcW w:type="dxa" w:w="1474"/>
            <w:vAlign w:val="center"/>
          </w:tcPr>
          <w:p>
            <w:pPr>
              <w:spacing w:after="0"/>
            </w:pPr>
            <w:r>
              <w:rPr>
                <w:rFonts w:ascii="游ゴシック" w:hAnsi="游ゴシック" w:eastAsia="游ゴシック"/>
                <w:b w:val="0"/>
                <w:sz w:val="16"/>
              </w:rPr>
              <w:t>No.169</w:t>
            </w:r>
          </w:p>
        </w:tc>
        <w:tc>
          <w:tcPr>
            <w:tcW w:type="dxa" w:w="3969"/>
            <w:vAlign w:val="center"/>
          </w:tcPr>
          <w:p>
            <w:pPr>
              <w:spacing w:after="0"/>
            </w:pPr>
            <w:r>
              <w:rPr>
                <w:rFonts w:ascii="游ゴシック" w:hAnsi="游ゴシック" w:eastAsia="游ゴシック"/>
                <w:b w:val="0"/>
                <w:sz w:val="16"/>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907"/>
            <w:vAlign w:val="center"/>
          </w:tcPr>
          <w:p>
            <w:pPr>
              <w:spacing w:after="0"/>
              <w:jc w:val="center"/>
            </w:pPr>
            <w:r>
              <w:rPr>
                <w:rFonts w:ascii="游ゴシック" w:hAnsi="游ゴシック" w:eastAsia="游ゴシック"/>
                <w:b/>
                <w:sz w:val="16"/>
              </w:rPr>
              <w:t>5分</w:t>
            </w:r>
          </w:p>
        </w:tc>
      </w:tr>
      <w:tr>
        <w:trPr>
          <w:cantSplit/>
        </w:trPr>
        <w:tc>
          <w:tcPr>
            <w:tcW w:type="dxa" w:w="680"/>
            <w:shd w:val="clear" w:color="auto" w:fill="F2F5FA"/>
            <w:vAlign w:val="center"/>
          </w:tcPr>
          <w:p>
            <w:pPr>
              <w:spacing w:after="0"/>
              <w:jc w:val="center"/>
            </w:pPr>
            <w:r>
              <w:rPr>
                <w:rFonts w:ascii="游ゴシック" w:hAnsi="游ゴシック" w:eastAsia="游ゴシック"/>
                <w:b/>
                <w:sz w:val="16"/>
              </w:rPr>
              <w:t>B4</w:t>
            </w:r>
          </w:p>
        </w:tc>
        <w:tc>
          <w:tcPr>
            <w:tcW w:type="dxa" w:w="2381"/>
            <w:shd w:val="clear" w:color="auto" w:fill="F2F5FA"/>
            <w:vAlign w:val="center"/>
          </w:tcPr>
          <w:p>
            <w:pPr>
              <w:spacing w:after="0"/>
            </w:pPr>
            <w:r>
              <w:rPr>
                <w:rFonts w:ascii="游ゴシック" w:hAnsi="游ゴシック" w:eastAsia="游ゴシック"/>
                <w:b w:val="0"/>
                <w:sz w:val="16"/>
              </w:rPr>
              <w:t>趨勢に現れない要因と、実績の大きな動きの理由</w:t>
            </w:r>
          </w:p>
        </w:tc>
        <w:tc>
          <w:tcPr>
            <w:tcW w:type="dxa" w:w="1474"/>
            <w:shd w:val="clear" w:color="auto" w:fill="F2F5FA"/>
            <w:vAlign w:val="center"/>
          </w:tcPr>
          <w:p>
            <w:pPr>
              <w:spacing w:after="0"/>
            </w:pPr>
            <w:r>
              <w:rPr>
                <w:rFonts w:ascii="游ゴシック" w:hAnsi="游ゴシック" w:eastAsia="游ゴシック"/>
                <w:b w:val="0"/>
                <w:sz w:val="16"/>
              </w:rPr>
              <w:t>No.111・No.133・No.108</w:t>
            </w:r>
          </w:p>
        </w:tc>
        <w:tc>
          <w:tcPr>
            <w:tcW w:type="dxa" w:w="3969"/>
            <w:shd w:val="clear" w:color="auto" w:fill="F2F5FA"/>
            <w:vAlign w:val="center"/>
          </w:tcPr>
          <w:p>
            <w:pPr>
              <w:spacing w:after="0"/>
            </w:pPr>
            <w:r>
              <w:rPr>
                <w:rFonts w:ascii="游ゴシック" w:hAnsi="游ゴシック" w:eastAsia="游ゴシック"/>
                <w:b w:val="0"/>
                <w:sz w:val="16"/>
              </w:rPr>
              <w:t>趨勢に現れない要因は向きのみを注記し、数値には織り込まない／令和8年度の月報（4〜7月）は基準年度に用いず、令和7年度を基準として概算する／補正しても外れる6件は趨勢ではなく供給・制度の問題として注記する</w:t>
            </w:r>
          </w:p>
        </w:tc>
        <w:tc>
          <w:tcPr>
            <w:tcW w:type="dxa" w:w="907"/>
            <w:shd w:val="clear" w:color="auto" w:fill="F2F5FA"/>
            <w:vAlign w:val="center"/>
          </w:tcPr>
          <w:p>
            <w:pPr>
              <w:spacing w:after="0"/>
              <w:jc w:val="center"/>
            </w:pPr>
            <w:r>
              <w:rPr>
                <w:rFonts w:ascii="游ゴシック" w:hAnsi="游ゴシック" w:eastAsia="游ゴシック"/>
                <w:b/>
                <w:sz w:val="16"/>
              </w:rPr>
              <w:t>5分</w:t>
            </w:r>
          </w:p>
        </w:tc>
      </w:tr>
      <w:tr>
        <w:trPr>
          <w:cantSplit/>
        </w:trPr>
        <w:tc>
          <w:tcPr>
            <w:tcW w:type="dxa" w:w="680"/>
            <w:vAlign w:val="center"/>
          </w:tcPr>
          <w:p>
            <w:pPr>
              <w:spacing w:after="0"/>
              <w:jc w:val="center"/>
            </w:pPr>
            <w:r>
              <w:rPr>
                <w:rFonts w:ascii="游ゴシック" w:hAnsi="游ゴシック" w:eastAsia="游ゴシック"/>
                <w:b/>
                <w:sz w:val="16"/>
              </w:rPr>
              <w:t>計</w:t>
            </w:r>
          </w:p>
        </w:tc>
        <w:tc>
          <w:tcPr>
            <w:tcW w:type="dxa" w:w="2381"/>
            <w:vAlign w:val="center"/>
          </w:tcPr>
          <w:p>
            <w:pPr>
              <w:spacing w:after="0"/>
            </w:pPr>
            <w:r>
              <w:rPr>
                <w:rFonts w:ascii="游ゴシック" w:hAnsi="游ゴシック" w:eastAsia="游ゴシック"/>
                <w:sz w:val="16"/>
              </w:rPr>
            </w:r>
          </w:p>
        </w:tc>
        <w:tc>
          <w:tcPr>
            <w:tcW w:type="dxa" w:w="1474"/>
            <w:vAlign w:val="center"/>
          </w:tcPr>
          <w:p>
            <w:pPr>
              <w:spacing w:after="0"/>
            </w:pPr>
            <w:r>
              <w:rPr>
                <w:rFonts w:ascii="游ゴシック" w:hAnsi="游ゴシック" w:eastAsia="游ゴシック"/>
                <w:sz w:val="16"/>
              </w:rPr>
            </w:r>
          </w:p>
        </w:tc>
        <w:tc>
          <w:tcPr>
            <w:tcW w:type="dxa" w:w="3969"/>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b/>
                <w:sz w:val="16"/>
              </w:rPr>
              <w:t>20分</w:t>
            </w:r>
          </w:p>
        </w:tc>
      </w:tr>
    </w:tbl>
    <w:p>
      <w:pPr>
        <w:spacing w:after="80"/>
      </w:pPr>
      <w:r>
        <w:rPr>
          <w:rFonts w:ascii="游ゴシック" w:hAnsi="游ゴシック" w:eastAsia="游ゴシック"/>
          <w:b/>
          <w:sz w:val="20"/>
        </w:rPr>
        <w:t>B1　介護情報基盤及びケアプランデータ連携への対応の工程</w:t>
      </w:r>
      <w:r>
        <w:rPr>
          <w:rFonts w:ascii="游ゴシック" w:hAnsi="游ゴシック" w:eastAsia="游ゴシック"/>
          <w:b w:val="0"/>
          <w:sz w:val="20"/>
        </w:rPr>
        <w:t xml:space="preserve"> 令和10年4月1日までに構成3町の介護保険事務システムの標準化対応と介護情報基盤へのデータ移行を終えることが国から示されています（適合基準日は令和9年1月1日）。</w:t>
      </w:r>
      <w:r>
        <w:rPr>
          <w:rFonts w:ascii="游ゴシック" w:hAnsi="游ゴシック" w:eastAsia="游ゴシック"/>
          <w:b/>
          <w:sz w:val="20"/>
        </w:rPr>
        <w:t>個別協議でお伺いする項目に加えるかをご確認いただきたい。</w:t>
      </w:r>
    </w:p>
    <w:p>
      <w:pPr>
        <w:spacing w:after="80"/>
      </w:pPr>
      <w:r>
        <w:rPr>
          <w:rFonts w:ascii="游ゴシック" w:hAnsi="游ゴシック" w:eastAsia="游ゴシック"/>
          <w:b/>
          <w:sz w:val="20"/>
        </w:rPr>
        <w:t>B2　ケアプラン点検実施要領（案）の確定</w:t>
      </w:r>
      <w:r>
        <w:rPr>
          <w:rFonts w:ascii="游ゴシック" w:hAnsi="游ゴシック" w:eastAsia="游ゴシック"/>
          <w:b w:val="0"/>
          <w:sz w:val="20"/>
        </w:rPr>
        <w:t xml:space="preserve"> 令和8年9月18日の社会保障審議会介護保険部会で、介護給付適正化の主要3事業のいずれかを実施していない保険者について調整交付金を減額する仕組みが示されました。</w:t>
      </w:r>
      <w:r>
        <w:rPr>
          <w:rFonts w:ascii="游ゴシック" w:hAnsi="游ゴシック" w:eastAsia="游ゴシック"/>
          <w:b/>
          <w:sz w:val="20"/>
        </w:rPr>
        <w:t>当広域連合はケアプラン等の点検を実施していないため該当します。</w:t>
      </w:r>
    </w:p>
    <w:p>
      <w:pPr>
        <w:spacing w:after="80"/>
      </w:pPr>
      <w:r>
        <w:rPr>
          <w:rFonts w:ascii="游ゴシック" w:hAnsi="游ゴシック" w:eastAsia="游ゴシック"/>
          <w:b/>
          <w:sz w:val="20"/>
        </w:rPr>
        <w:t>B3　構成町により得点が分かれている交付金の項目の区域内での取扱い</w:t>
      </w:r>
      <w:r>
        <w:rPr>
          <w:rFonts w:ascii="游ゴシック" w:hAnsi="游ゴシック" w:eastAsia="游ゴシック"/>
          <w:b w:val="0"/>
          <w:sz w:val="20"/>
        </w:rPr>
        <w:t xml:space="preserve"> 令和8年度の評価指標の明細列のうち78列で、構成3町の一部の町のみが得点しています。3町は制度・保険者が同じであり条件がそろっています。第10期の施策に位置づけるかどうかは取組の必要性から判断するもので、得点のみを理由とするものではありません。</w:t>
      </w:r>
    </w:p>
    <w:p>
      <w:pPr>
        <w:spacing w:after="80"/>
      </w:pPr>
      <w:r>
        <w:rPr>
          <w:rFonts w:ascii="游ゴシック" w:hAnsi="游ゴシック" w:eastAsia="游ゴシック"/>
          <w:b/>
          <w:sz w:val="20"/>
        </w:rPr>
        <w:t>B4　趨勢に現れない要因と、実績の大きな動きの理由</w:t>
      </w:r>
      <w:r>
        <w:rPr>
          <w:rFonts w:ascii="游ゴシック" w:hAnsi="游ゴシック" w:eastAsia="游ゴシック"/>
          <w:b w:val="0"/>
          <w:sz w:val="20"/>
        </w:rPr>
        <w:t xml:space="preserve"> 介護老人保健施設の令和8年度の減少（14.6％）は季節では説明できません。補正しても外れるサービス6件は趨勢ではなく供給・制度の問題です。いずれも</w:t>
      </w:r>
      <w:r>
        <w:rPr>
          <w:rFonts w:ascii="游ゴシック" w:hAnsi="游ゴシック" w:eastAsia="游ゴシック"/>
          <w:b/>
          <w:sz w:val="20"/>
        </w:rPr>
        <w:t>向きのみを注記し数値には織り込まない</w:t>
      </w:r>
      <w:r>
        <w:rPr>
          <w:rFonts w:ascii="游ゴシック" w:hAnsi="游ゴシック" w:eastAsia="游ゴシック"/>
          <w:b w:val="0"/>
          <w:sz w:val="20"/>
        </w:rPr>
        <w:t>扱いとしています。</w:t>
      </w:r>
    </w:p>
    <w:p>
      <w:pPr>
        <w:keepNext/>
        <w:spacing w:before="180" w:after="60"/>
      </w:pPr>
      <w:r>
        <w:rPr>
          <w:rFonts w:ascii="游ゴシック" w:hAnsi="游ゴシック" w:eastAsia="游ゴシック"/>
          <w:b/>
          <w:sz w:val="22"/>
        </w:rPr>
        <w:t>3　A群・B群の選び方</w:t>
      </w:r>
    </w:p>
    <w:p>
      <w:pPr>
        <w:spacing w:after="80"/>
      </w:pPr>
      <w:r>
        <w:rPr>
          <w:rFonts w:ascii="游ゴシック" w:hAnsi="游ゴシック" w:eastAsia="游ゴシック"/>
          <w:b w:val="0"/>
          <w:sz w:val="20"/>
        </w:rPr>
        <w:t>A群は次の4つの観点のうち</w:t>
      </w:r>
      <w:r>
        <w:rPr>
          <w:rFonts w:ascii="游ゴシック" w:hAnsi="游ゴシック" w:eastAsia="游ゴシック"/>
          <w:b/>
          <w:sz w:val="20"/>
        </w:rPr>
        <w:t>2つ以上に当たるもの</w:t>
      </w:r>
      <w:r>
        <w:rPr>
          <w:rFonts w:ascii="游ゴシック" w:hAnsi="游ゴシック" w:eastAsia="游ゴシック"/>
          <w:b w:val="0"/>
          <w:sz w:val="20"/>
        </w:rPr>
        <w:t>としました。期限は観点に用いていません。ご決定をお待ちしている事項は期限が令和8年10月までのものが大半であり、期限では順位が付かないためです。</w:t>
      </w:r>
    </w:p>
    <w:p>
      <w:pPr>
        <w:keepNext/>
        <w:spacing w:before="160" w:after="40"/>
      </w:pPr>
      <w:r>
        <w:rPr>
          <w:rFonts w:ascii="游ゴシック" w:hAnsi="游ゴシック" w:eastAsia="游ゴシック"/>
          <w:b/>
          <w:sz w:val="20"/>
        </w:rPr>
        <w:t>表20　優先順位の観点</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観点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意味</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A群</w:t>
            </w:r>
          </w:p>
        </w:tc>
      </w:tr>
      <w:tr>
        <w:trPr>
          <w:cantSplit/>
        </w:trPr>
        <w:tc>
          <w:tcPr>
            <w:tcW w:type="dxa" w:w="680"/>
            <w:vAlign w:val="center"/>
          </w:tcPr>
          <w:p>
            <w:pPr>
              <w:keepNext/>
              <w:spacing w:after="0"/>
              <w:jc w:val="center"/>
            </w:pPr>
            <w:r>
              <w:rPr>
                <w:rFonts w:ascii="游ゴシック" w:hAnsi="游ゴシック" w:eastAsia="游ゴシック"/>
                <w:b/>
                <w:sz w:val="18"/>
              </w:rPr>
              <w:t>①</w:t>
            </w:r>
          </w:p>
        </w:tc>
        <w:tc>
          <w:tcPr>
            <w:tcW w:type="dxa" w:w="2835"/>
            <w:vAlign w:val="center"/>
          </w:tcPr>
          <w:p>
            <w:pPr>
              <w:keepNext/>
              <w:spacing w:after="0"/>
            </w:pPr>
            <w:r>
              <w:rPr>
                <w:rFonts w:ascii="游ゴシック" w:hAnsi="游ゴシック" w:eastAsia="游ゴシック"/>
                <w:b w:val="0"/>
                <w:sz w:val="18"/>
              </w:rPr>
              <w:t>3町の意向がないと計画の記載が確定しない</w:t>
            </w:r>
          </w:p>
        </w:tc>
        <w:tc>
          <w:tcPr>
            <w:tcW w:type="dxa" w:w="4762"/>
            <w:vAlign w:val="center"/>
          </w:tcPr>
          <w:p>
            <w:pPr>
              <w:keepNext/>
              <w:spacing w:after="0"/>
            </w:pPr>
            <w:r>
              <w:rPr>
                <w:rFonts w:ascii="游ゴシック" w:hAnsi="游ゴシック" w:eastAsia="游ゴシック"/>
                <w:b w:val="0"/>
                <w:sz w:val="18"/>
              </w:rPr>
              <w:t>構成3町のご意向がないと計画本文を確定できず、［要協議］のまま残すことになる</w:t>
            </w:r>
          </w:p>
        </w:tc>
        <w:tc>
          <w:tcPr>
            <w:tcW w:type="dxa" w:w="1474"/>
            <w:vAlign w:val="center"/>
          </w:tcPr>
          <w:p>
            <w:pPr>
              <w:keepNext/>
              <w:spacing w:after="0"/>
            </w:pPr>
            <w:r>
              <w:rPr>
                <w:rFonts w:ascii="游ゴシック" w:hAnsi="游ゴシック" w:eastAsia="游ゴシック"/>
                <w:b w:val="0"/>
                <w:sz w:val="18"/>
              </w:rPr>
              <w:t>A1・A2・A3・A4</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sz w:val="18"/>
              </w:rPr>
              <w:t>②</w:t>
            </w:r>
          </w:p>
        </w:tc>
        <w:tc>
          <w:tcPr>
            <w:tcW w:type="dxa" w:w="2835"/>
            <w:shd w:val="clear" w:color="auto" w:fill="F2F5FA"/>
            <w:vAlign w:val="center"/>
          </w:tcPr>
          <w:p>
            <w:pPr>
              <w:keepNext/>
              <w:spacing w:after="0"/>
            </w:pPr>
            <w:r>
              <w:rPr>
                <w:rFonts w:ascii="游ゴシック" w:hAnsi="游ゴシック" w:eastAsia="游ゴシック"/>
                <w:b w:val="0"/>
                <w:sz w:val="18"/>
              </w:rPr>
              <w:t>月額への効きが大きい</w:t>
            </w:r>
          </w:p>
        </w:tc>
        <w:tc>
          <w:tcPr>
            <w:tcW w:type="dxa" w:w="4762"/>
            <w:shd w:val="clear" w:color="auto" w:fill="F2F5FA"/>
            <w:vAlign w:val="center"/>
          </w:tcPr>
          <w:p>
            <w:pPr>
              <w:keepNext/>
              <w:spacing w:after="0"/>
            </w:pPr>
            <w:r>
              <w:rPr>
                <w:rFonts w:ascii="游ゴシック" w:hAnsi="游ゴシック" w:eastAsia="游ゴシック"/>
                <w:b w:val="0"/>
                <w:sz w:val="18"/>
              </w:rPr>
              <w:t>保険料の月額を動かし得る</w:t>
            </w:r>
          </w:p>
        </w:tc>
        <w:tc>
          <w:tcPr>
            <w:tcW w:type="dxa" w:w="1474"/>
            <w:shd w:val="clear" w:color="auto" w:fill="F2F5FA"/>
            <w:vAlign w:val="center"/>
          </w:tcPr>
          <w:p>
            <w:pPr>
              <w:keepNext/>
              <w:spacing w:after="0"/>
            </w:pPr>
            <w:r>
              <w:rPr>
                <w:rFonts w:ascii="游ゴシック" w:hAnsi="游ゴシック" w:eastAsia="游ゴシック"/>
                <w:b w:val="0"/>
                <w:sz w:val="18"/>
              </w:rPr>
              <w:t>A2</w:t>
            </w:r>
          </w:p>
        </w:tc>
      </w:tr>
      <w:tr>
        <w:trPr>
          <w:cantSplit/>
        </w:trPr>
        <w:tc>
          <w:tcPr>
            <w:tcW w:type="dxa" w:w="680"/>
            <w:vAlign w:val="center"/>
          </w:tcPr>
          <w:p>
            <w:pPr>
              <w:keepNext/>
              <w:spacing w:after="0"/>
              <w:jc w:val="center"/>
            </w:pPr>
            <w:r>
              <w:rPr>
                <w:rFonts w:ascii="游ゴシック" w:hAnsi="游ゴシック" w:eastAsia="游ゴシック"/>
                <w:b/>
                <w:sz w:val="18"/>
              </w:rPr>
              <w:t>③</w:t>
            </w:r>
          </w:p>
        </w:tc>
        <w:tc>
          <w:tcPr>
            <w:tcW w:type="dxa" w:w="2835"/>
            <w:vAlign w:val="center"/>
          </w:tcPr>
          <w:p>
            <w:pPr>
              <w:keepNext/>
              <w:spacing w:after="0"/>
            </w:pPr>
            <w:r>
              <w:rPr>
                <w:rFonts w:ascii="游ゴシック" w:hAnsi="游ゴシック" w:eastAsia="游ゴシック"/>
                <w:b w:val="0"/>
                <w:sz w:val="18"/>
              </w:rPr>
              <w:t>法定記載事項に直結する</w:t>
            </w:r>
          </w:p>
        </w:tc>
        <w:tc>
          <w:tcPr>
            <w:tcW w:type="dxa" w:w="4762"/>
            <w:vAlign w:val="center"/>
          </w:tcPr>
          <w:p>
            <w:pPr>
              <w:keepNext/>
              <w:spacing w:after="0"/>
            </w:pPr>
            <w:r>
              <w:rPr>
                <w:rFonts w:ascii="游ゴシック" w:hAnsi="游ゴシック" w:eastAsia="游ゴシック"/>
                <w:b w:val="0"/>
                <w:sz w:val="18"/>
              </w:rPr>
              <w:t>介護保険法第117条が定める記載事項そのものである</w:t>
            </w:r>
          </w:p>
        </w:tc>
        <w:tc>
          <w:tcPr>
            <w:tcW w:type="dxa" w:w="1474"/>
            <w:vAlign w:val="center"/>
          </w:tcPr>
          <w:p>
            <w:pPr>
              <w:keepNext/>
              <w:spacing w:after="0"/>
            </w:pPr>
            <w:r>
              <w:rPr>
                <w:rFonts w:ascii="游ゴシック" w:hAnsi="游ゴシック" w:eastAsia="游ゴシック"/>
                <w:b w:val="0"/>
                <w:sz w:val="18"/>
              </w:rPr>
              <w:t>A1・A3</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④</w:t>
            </w:r>
          </w:p>
        </w:tc>
        <w:tc>
          <w:tcPr>
            <w:tcW w:type="dxa" w:w="2835"/>
            <w:shd w:val="clear" w:color="auto" w:fill="F2F5FA"/>
            <w:vAlign w:val="center"/>
          </w:tcPr>
          <w:p>
            <w:pPr>
              <w:spacing w:after="0"/>
            </w:pPr>
            <w:r>
              <w:rPr>
                <w:rFonts w:ascii="游ゴシック" w:hAnsi="游ゴシック" w:eastAsia="游ゴシック"/>
                <w:b w:val="0"/>
                <w:sz w:val="18"/>
              </w:rPr>
              <w:t>第2次概算の前提になる</w:t>
            </w:r>
          </w:p>
        </w:tc>
        <w:tc>
          <w:tcPr>
            <w:tcW w:type="dxa" w:w="4762"/>
            <w:shd w:val="clear" w:color="auto" w:fill="F2F5FA"/>
            <w:vAlign w:val="center"/>
          </w:tcPr>
          <w:p>
            <w:pPr>
              <w:spacing w:after="0"/>
            </w:pPr>
            <w:r>
              <w:rPr>
                <w:rFonts w:ascii="游ゴシック" w:hAnsi="游ゴシック" w:eastAsia="游ゴシック"/>
                <w:b w:val="0"/>
                <w:sz w:val="18"/>
              </w:rPr>
              <w:t>令和8年10月30日に提示する算定の前提として要る</w:t>
            </w:r>
          </w:p>
        </w:tc>
        <w:tc>
          <w:tcPr>
            <w:tcW w:type="dxa" w:w="1474"/>
            <w:shd w:val="clear" w:color="auto" w:fill="F2F5FA"/>
            <w:vAlign w:val="center"/>
          </w:tcPr>
          <w:p>
            <w:pPr>
              <w:spacing w:after="0"/>
            </w:pPr>
            <w:r>
              <w:rPr>
                <w:rFonts w:ascii="游ゴシック" w:hAnsi="游ゴシック" w:eastAsia="游ゴシック"/>
                <w:b w:val="0"/>
                <w:sz w:val="18"/>
              </w:rPr>
              <w:t>A1・A2・A4</w:t>
            </w:r>
          </w:p>
        </w:tc>
      </w:tr>
    </w:tbl>
    <w:p>
      <w:pPr>
        <w:ind w:left="227"/>
      </w:pPr>
      <w:r>
        <w:rPr>
          <w:rFonts w:ascii="游ゴシック" w:hAnsi="游ゴシック" w:eastAsia="游ゴシック"/>
          <w:b w:val="0"/>
          <w:sz w:val="18"/>
        </w:rPr>
        <w:t>※ A群・B群のいずれも、ご決定がない場合は仮置きのまま第2次概算（令和8年10月30日）を組みます。ただし仮置きは協議を進めるためのものであり、計画として確定する根拠にはなりません。</w:t>
      </w:r>
    </w:p>
    <w:p>
      <w:pPr>
        <w:keepNext/>
        <w:spacing w:before="180" w:after="60"/>
      </w:pPr>
      <w:r>
        <w:rPr>
          <w:rFonts w:ascii="游ゴシック" w:hAnsi="游ゴシック" w:eastAsia="游ゴシック"/>
          <w:b/>
          <w:sz w:val="22"/>
        </w:rPr>
        <w:t>4　サービス見込量・保険料の算定を止めているもの（4件）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表21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5　計画の記載に関わるもの（27件）</w:t>
      </w:r>
    </w:p>
    <w:p>
      <w:pPr>
        <w:keepNext/>
        <w:spacing w:before="160" w:after="40"/>
      </w:pPr>
      <w:r>
        <w:rPr>
          <w:rFonts w:ascii="游ゴシック" w:hAnsi="游ゴシック" w:eastAsia="游ゴシック"/>
          <w:b/>
          <w:sz w:val="20"/>
        </w:rPr>
        <w:t>表22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社会資源一覧の従業員数は施設単位の実人数を用い、延べの値は用いない（同一の施設が複数のサービスで登録されている分を除く）。介護人材実態調査の採用者数・離職者数も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No.88</w:t>
            </w:r>
          </w:p>
        </w:tc>
        <w:tc>
          <w:tcPr>
            <w:tcW w:type="dxa" w:w="2948"/>
            <w:shd w:val="clear" w:color="auto" w:fill="F2F5FA"/>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shd w:val="clear" w:color="auto" w:fill="F2F5FA"/>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No.96</w:t>
            </w:r>
          </w:p>
        </w:tc>
        <w:tc>
          <w:tcPr>
            <w:tcW w:type="dxa" w:w="2948"/>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No.175</w:t>
            </w:r>
          </w:p>
        </w:tc>
        <w:tc>
          <w:tcPr>
            <w:tcW w:type="dxa" w:w="2948"/>
            <w:shd w:val="clear" w:color="auto" w:fill="F2F5FA"/>
            <w:vAlign w:val="center"/>
          </w:tcPr>
          <w:p>
            <w:pPr>
              <w:spacing w:after="0"/>
            </w:pPr>
            <w:r>
              <w:rPr>
                <w:rFonts w:ascii="游ゴシック" w:hAnsi="游ゴシック" w:eastAsia="游ゴシック"/>
                <w:b w:val="0"/>
                <w:sz w:val="18"/>
              </w:rPr>
              <w:t>介護情報基盤及びケアプランデータ連携への対応の工程</w:t>
            </w:r>
          </w:p>
        </w:tc>
        <w:tc>
          <w:tcPr>
            <w:tcW w:type="dxa" w:w="4876"/>
            <w:shd w:val="clear" w:color="auto" w:fill="F2F5FA"/>
            <w:vAlign w:val="center"/>
          </w:tcPr>
          <w:p>
            <w:pPr>
              <w:spacing w:after="0"/>
            </w:pPr>
            <w:r>
              <w:rPr>
                <w:rFonts w:ascii="游ゴシック" w:hAnsi="游ゴシック" w:eastAsia="游ゴシック"/>
                <w:b w:val="0"/>
                <w:sz w:val="18"/>
              </w:rPr>
              <w:t>国が示す本格運用開始日（令和10年4月1日）までに完了することを前提として計画素案に記載し、年度ごとの工程は［要確認］として残す。事業所への周知は広域連合と3町が共同で行うものとして記載する</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794"/>
            <w:vAlign w:val="center"/>
          </w:tcPr>
          <w:p>
            <w:pPr>
              <w:spacing w:after="0"/>
              <w:jc w:val="center"/>
            </w:pPr>
            <w:r>
              <w:rPr>
                <w:rFonts w:ascii="游ゴシック" w:hAnsi="游ゴシック" w:eastAsia="游ゴシック"/>
                <w:b w:val="0"/>
                <w:sz w:val="18"/>
              </w:rPr>
              <w:t>No.178</w:t>
            </w:r>
          </w:p>
        </w:tc>
        <w:tc>
          <w:tcPr>
            <w:tcW w:type="dxa" w:w="2948"/>
            <w:vAlign w:val="center"/>
          </w:tcPr>
          <w:p>
            <w:pPr>
              <w:spacing w:after="0"/>
            </w:pPr>
            <w:r>
              <w:rPr>
                <w:rFonts w:ascii="游ゴシック" w:hAnsi="游ゴシック" w:eastAsia="游ゴシック"/>
                <w:b w:val="0"/>
                <w:sz w:val="18"/>
              </w:rPr>
              <w:t>構成3町の高齢者福祉計画と市町村老人福祉計画の関係</w:t>
            </w:r>
          </w:p>
        </w:tc>
        <w:tc>
          <w:tcPr>
            <w:tcW w:type="dxa" w:w="4876"/>
            <w:vAlign w:val="center"/>
          </w:tcPr>
          <w:p>
            <w:pPr>
              <w:spacing w:after="0"/>
            </w:pPr>
            <w:r>
              <w:rPr>
                <w:rFonts w:ascii="游ゴシック" w:hAnsi="游ゴシック" w:eastAsia="游ゴシック"/>
                <w:b w:val="0"/>
                <w:sz w:val="18"/>
              </w:rPr>
              <w:t>構成3町の高齢者福祉計画が市町村老人福祉計画に当たることを計画素案に記載し、一体のものとして作成する方法は共通KPIと役割分担表による接続とする旨を［要協議］として残す。老人福祉事業の量の目標は3町の計画に委ね、本計画には掲げない</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No.179</w:t>
            </w:r>
          </w:p>
        </w:tc>
        <w:tc>
          <w:tcPr>
            <w:tcW w:type="dxa" w:w="2948"/>
            <w:shd w:val="clear" w:color="auto" w:fill="F2F5FA"/>
            <w:vAlign w:val="center"/>
          </w:tcPr>
          <w:p>
            <w:pPr>
              <w:spacing w:after="0"/>
            </w:pPr>
            <w:r>
              <w:rPr>
                <w:rFonts w:ascii="游ゴシック" w:hAnsi="游ゴシック" w:eastAsia="游ゴシック"/>
                <w:b w:val="0"/>
                <w:sz w:val="18"/>
              </w:rPr>
              <w:t>成年後見制度の利用の促進に関する施策についての基本的な計画の策定状況</w:t>
            </w:r>
          </w:p>
        </w:tc>
        <w:tc>
          <w:tcPr>
            <w:tcW w:type="dxa" w:w="4876"/>
            <w:shd w:val="clear" w:color="auto" w:fill="F2F5FA"/>
            <w:vAlign w:val="center"/>
          </w:tcPr>
          <w:p>
            <w:pPr>
              <w:spacing w:after="0"/>
            </w:pPr>
            <w:r>
              <w:rPr>
                <w:rFonts w:ascii="游ゴシック" w:hAnsi="游ゴシック" w:eastAsia="游ゴシック"/>
                <w:b w:val="0"/>
                <w:sz w:val="18"/>
              </w:rPr>
              <w:t>同計画は構成3町が定めるものとして計画素案に記載し、本計画は介護保険法第117条第3項による権利擁護の施策（第5章 基本目標1）をもって接続する。中核機関の整備の状況は［要確認］として残す</w:t>
            </w:r>
          </w:p>
        </w:tc>
        <w:tc>
          <w:tcPr>
            <w:tcW w:type="dxa" w:w="1134"/>
            <w:shd w:val="clear" w:color="auto" w:fill="F2F5FA"/>
            <w:vAlign w:val="center"/>
          </w:tcPr>
          <w:p>
            <w:pPr>
              <w:spacing w:after="0"/>
              <w:jc w:val="center"/>
            </w:pPr>
            <w:r>
              <w:rPr>
                <w:rFonts w:ascii="游ゴシック" w:hAnsi="游ゴシック" w:eastAsia="游ゴシック"/>
                <w:b w:val="0"/>
                <w:sz w:val="18"/>
              </w:rPr>
              <w:t>R8.11</w:t>
            </w:r>
          </w:p>
        </w:tc>
      </w:tr>
      <w:tr>
        <w:trPr>
          <w:cantSplit/>
        </w:trPr>
        <w:tc>
          <w:tcPr>
            <w:tcW w:type="dxa" w:w="794"/>
            <w:vAlign w:val="center"/>
          </w:tcPr>
          <w:p>
            <w:pPr>
              <w:spacing w:after="0"/>
              <w:jc w:val="center"/>
            </w:pPr>
            <w:r>
              <w:rPr>
                <w:rFonts w:ascii="游ゴシック" w:hAnsi="游ゴシック" w:eastAsia="游ゴシック"/>
                <w:b w:val="0"/>
                <w:sz w:val="18"/>
              </w:rPr>
              <w:t>No.180</w:t>
            </w:r>
          </w:p>
        </w:tc>
        <w:tc>
          <w:tcPr>
            <w:tcW w:type="dxa" w:w="2948"/>
            <w:vAlign w:val="center"/>
          </w:tcPr>
          <w:p>
            <w:pPr>
              <w:spacing w:after="0"/>
            </w:pPr>
            <w:r>
              <w:rPr>
                <w:rFonts w:ascii="游ゴシック" w:hAnsi="游ゴシック" w:eastAsia="游ゴシック"/>
                <w:b w:val="0"/>
                <w:sz w:val="18"/>
              </w:rPr>
              <w:t>要配慮者利用施設の避難確保計画の対象施設と作成状況</w:t>
            </w:r>
          </w:p>
        </w:tc>
        <w:tc>
          <w:tcPr>
            <w:tcW w:type="dxa" w:w="4876"/>
            <w:vAlign w:val="center"/>
          </w:tcPr>
          <w:p>
            <w:pPr>
              <w:spacing w:after="0"/>
            </w:pPr>
            <w:r>
              <w:rPr>
                <w:rFonts w:ascii="游ゴシック" w:hAnsi="游ゴシック" w:eastAsia="游ゴシック"/>
                <w:b w:val="0"/>
                <w:sz w:val="18"/>
              </w:rPr>
              <w:t>対象施設及び作成の状況を［要確認］として残し、第5章 基本目標5の主な事業に作成及び避難訓練の確認を置くにとどめ、達成目標に数値を掲げない。避難確保計画はBCPとは別の計画であり、BCPの策定率をもって作成の状況としない</w:t>
            </w:r>
          </w:p>
        </w:tc>
        <w:tc>
          <w:tcPr>
            <w:tcW w:type="dxa" w:w="1134"/>
            <w:vAlign w:val="center"/>
          </w:tcPr>
          <w:p>
            <w:pPr>
              <w:spacing w:after="0"/>
              <w:jc w:val="center"/>
            </w:pPr>
            <w:r>
              <w:rPr>
                <w:rFonts w:ascii="游ゴシック" w:hAnsi="游ゴシック" w:eastAsia="游ゴシック"/>
                <w:b w:val="0"/>
                <w:sz w:val="18"/>
              </w:rPr>
              <w:t>R8.11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No.184</w:t>
            </w:r>
          </w:p>
        </w:tc>
        <w:tc>
          <w:tcPr>
            <w:tcW w:type="dxa" w:w="2948"/>
            <w:shd w:val="clear" w:color="auto" w:fill="F2F5FA"/>
            <w:vAlign w:val="center"/>
          </w:tcPr>
          <w:p>
            <w:pPr>
              <w:spacing w:after="0"/>
            </w:pPr>
            <w:r>
              <w:rPr>
                <w:rFonts w:ascii="游ゴシック" w:hAnsi="游ゴシック" w:eastAsia="游ゴシック"/>
                <w:b w:val="0"/>
                <w:sz w:val="18"/>
              </w:rPr>
              <w:t>短期入所生活介護の季節利用及び長期利用の実態</w:t>
            </w:r>
          </w:p>
        </w:tc>
        <w:tc>
          <w:tcPr>
            <w:tcW w:type="dxa" w:w="4876"/>
            <w:shd w:val="clear" w:color="auto" w:fill="F2F5FA"/>
            <w:vAlign w:val="center"/>
          </w:tcPr>
          <w:p>
            <w:pPr>
              <w:spacing w:after="0"/>
            </w:pPr>
            <w:r>
              <w:rPr>
                <w:rFonts w:ascii="游ゴシック" w:hAnsi="游ゴシック" w:eastAsia="游ゴシック"/>
                <w:b w:val="0"/>
                <w:sz w:val="18"/>
              </w:rPr>
              <w:t>令和7年度（12か月の完結年度）の実績により短期入所生活介護の見込量を算定し、季節補正を行わない（基準年度が完結年度であるため年度換算係数は1.0000となり効きは0円である）。季節利用の例外が示された時点で利用日数の置き方を確かめる</w:t>
            </w:r>
          </w:p>
        </w:tc>
        <w:tc>
          <w:tcPr>
            <w:tcW w:type="dxa" w:w="1134"/>
            <w:shd w:val="clear" w:color="auto" w:fill="F2F5FA"/>
            <w:vAlign w:val="center"/>
          </w:tcPr>
          <w:p>
            <w:pPr>
              <w:spacing w:after="0"/>
              <w:jc w:val="center"/>
            </w:pPr>
            <w:r>
              <w:rPr>
                <w:rFonts w:ascii="游ゴシック" w:hAnsi="游ゴシック" w:eastAsia="游ゴシック"/>
                <w:b w:val="0"/>
                <w:sz w:val="18"/>
              </w:rPr>
              <w:t>R8.12</w:t>
            </w:r>
          </w:p>
        </w:tc>
      </w:tr>
      <w:tr>
        <w:trPr>
          <w:cantSplit/>
        </w:trPr>
        <w:tc>
          <w:tcPr>
            <w:tcW w:type="dxa" w:w="794"/>
            <w:vAlign w:val="center"/>
          </w:tcPr>
          <w:p>
            <w:pPr>
              <w:spacing w:after="0"/>
              <w:jc w:val="center"/>
            </w:pPr>
            <w:r>
              <w:rPr>
                <w:rFonts w:ascii="游ゴシック" w:hAnsi="游ゴシック" w:eastAsia="游ゴシック"/>
                <w:b w:val="0"/>
                <w:sz w:val="18"/>
              </w:rPr>
              <w:t>No.185</w:t>
            </w:r>
          </w:p>
        </w:tc>
        <w:tc>
          <w:tcPr>
            <w:tcW w:type="dxa" w:w="2948"/>
            <w:vAlign w:val="center"/>
          </w:tcPr>
          <w:p>
            <w:pPr>
              <w:spacing w:after="0"/>
            </w:pPr>
            <w:r>
              <w:rPr>
                <w:rFonts w:ascii="游ゴシック" w:hAnsi="游ゴシック" w:eastAsia="游ゴシック"/>
                <w:b w:val="0"/>
                <w:sz w:val="18"/>
              </w:rPr>
              <w:t>小規模市町村地域支援連携協働体制整備事業の対象となるかどうか</w:t>
            </w:r>
          </w:p>
        </w:tc>
        <w:tc>
          <w:tcPr>
            <w:tcW w:type="dxa" w:w="4876"/>
            <w:vAlign w:val="center"/>
          </w:tcPr>
          <w:p>
            <w:pPr>
              <w:spacing w:after="0"/>
            </w:pPr>
            <w:r>
              <w:rPr>
                <w:rFonts w:ascii="游ゴシック" w:hAnsi="游ゴシック" w:eastAsia="游ゴシック"/>
                <w:b w:val="0"/>
                <w:sz w:val="18"/>
              </w:rPr>
              <w:t>現行の地域支援事業費（令和6年度決算による据え置き）により算定し、本事業を実施しないものとして扱う。厚生労働省令が示された時点で該当の有無を確かめ、該当する場合は費用の支弁の構造を改めて算定し直す</w:t>
            </w:r>
          </w:p>
        </w:tc>
        <w:tc>
          <w:tcPr>
            <w:tcW w:type="dxa" w:w="1134"/>
            <w:vAlign w:val="center"/>
          </w:tcPr>
          <w:p>
            <w:pPr>
              <w:spacing w:after="0"/>
              <w:jc w:val="center"/>
            </w:pPr>
            <w:r>
              <w:rPr>
                <w:rFonts w:ascii="游ゴシック" w:hAnsi="游ゴシック" w:eastAsia="游ゴシック"/>
                <w:b w:val="0"/>
                <w:sz w:val="18"/>
              </w:rPr>
              <w:t>R8.12</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6　受託者が仮置きにより進めた事項（171件）</w:t>
      </w:r>
    </w:p>
    <w:p>
      <w:pPr>
        <w:spacing w:after="80"/>
      </w:pPr>
      <w:r>
        <w:rPr>
          <w:rFonts w:ascii="游ゴシック" w:hAnsi="游ゴシック" w:eastAsia="游ゴシック"/>
          <w:b w:val="0"/>
          <w:sz w:val="20"/>
        </w:rPr>
        <w:t>ご決定をお待ちしているもののうち、仮置きのとおり計画素案へ反映した事項です。掲げないこととしたものを含みます。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spacing w:after="80"/>
      </w:pPr>
      <w:r>
        <w:rPr>
          <w:rFonts w:ascii="游ゴシック" w:hAnsi="游ゴシック" w:eastAsia="游ゴシック"/>
          <w:b w:val="0"/>
          <w:sz w:val="20"/>
        </w:rPr>
        <w:t>なお、特定施設入居者生活介護に係る必要利用定員総数（No.113）は、令和8年10月15日に参照条文により、混合型及び介護専用型のいずれも介護保険法第118条により北海道介護保険事業支援計画において定めるものとされており、本計画の記載事項ではないことが分かりました。本計画は区域内の状況を掲げるにとどめ、必要利用定員総数は北海道との協議により定めます。区域内の事業所の類型（混合型・介護専用型）は、同法第8条第21項により入居の要件によって定まります［要確認］。</w:t>
      </w:r>
    </w:p>
    <w:p>
      <w:pPr>
        <w:keepNext/>
        <w:spacing w:before="160" w:after="40"/>
      </w:pPr>
      <w:r>
        <w:rPr>
          <w:rFonts w:ascii="游ゴシック" w:hAnsi="游ゴシック" w:eastAsia="游ゴシック"/>
          <w:b/>
          <w:sz w:val="20"/>
        </w:rPr>
        <w:t>表23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6"/>
              </w:rPr>
              <w:t>No.</w:t>
            </w:r>
          </w:p>
        </w:tc>
        <w:tc>
          <w:tcPr>
            <w:tcW w:type="dxa" w:w="2608"/>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6"/>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6"/>
              </w:rPr>
              <w:t>計画素案</w:t>
            </w:r>
          </w:p>
        </w:tc>
      </w:tr>
      <w:tr>
        <w:trPr>
          <w:cantSplit/>
        </w:trPr>
        <w:tc>
          <w:tcPr>
            <w:tcW w:type="dxa" w:w="794"/>
            <w:vAlign w:val="center"/>
          </w:tcPr>
          <w:p>
            <w:pPr>
              <w:spacing w:after="0"/>
              <w:jc w:val="center"/>
            </w:pPr>
            <w:r>
              <w:rPr>
                <w:rFonts w:ascii="游ゴシック" w:hAnsi="游ゴシック" w:eastAsia="游ゴシック"/>
                <w:b w:val="0"/>
                <w:sz w:val="16"/>
              </w:rPr>
              <w:t>No.88</w:t>
            </w:r>
          </w:p>
        </w:tc>
        <w:tc>
          <w:tcPr>
            <w:tcW w:type="dxa" w:w="2608"/>
            <w:vAlign w:val="center"/>
          </w:tcPr>
          <w:p>
            <w:pPr>
              <w:spacing w:after="0"/>
            </w:pPr>
            <w:r>
              <w:rPr>
                <w:rFonts w:ascii="游ゴシック" w:hAnsi="游ゴシック" w:eastAsia="游ゴシック"/>
                <w:b w:val="0"/>
                <w:sz w:val="16"/>
              </w:rPr>
              <w:t>日常生活圏域ごとの必要利用定員総数（法定記載事項）</w:t>
            </w:r>
          </w:p>
        </w:tc>
        <w:tc>
          <w:tcPr>
            <w:tcW w:type="dxa" w:w="4649"/>
            <w:vAlign w:val="center"/>
          </w:tcPr>
          <w:p>
            <w:pPr>
              <w:spacing w:after="0"/>
            </w:pPr>
            <w:r>
              <w:rPr>
                <w:rFonts w:ascii="游ゴシック" w:hAnsi="游ゴシック" w:eastAsia="游ゴシック"/>
                <w:b w:val="0"/>
                <w:sz w:val="16"/>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No.131</w:t>
            </w:r>
          </w:p>
        </w:tc>
        <w:tc>
          <w:tcPr>
            <w:tcW w:type="dxa" w:w="2608"/>
            <w:shd w:val="clear" w:color="auto" w:fill="F2F5FA"/>
            <w:vAlign w:val="center"/>
          </w:tcPr>
          <w:p>
            <w:pPr>
              <w:spacing w:after="0"/>
            </w:pPr>
            <w:r>
              <w:rPr>
                <w:rFonts w:ascii="游ゴシック" w:hAnsi="游ゴシック" w:eastAsia="游ゴシック"/>
                <w:b w:val="0"/>
                <w:sz w:val="16"/>
              </w:rPr>
              <w:t>第6章第2節の見込量の表に何を掲げるか</w:t>
            </w:r>
          </w:p>
        </w:tc>
        <w:tc>
          <w:tcPr>
            <w:tcW w:type="dxa" w:w="4649"/>
            <w:shd w:val="clear" w:color="auto" w:fill="F2F5FA"/>
            <w:vAlign w:val="center"/>
          </w:tcPr>
          <w:p>
            <w:pPr>
              <w:spacing w:after="0"/>
            </w:pPr>
            <w:r>
              <w:rPr>
                <w:rFonts w:ascii="游ゴシック" w:hAnsi="游ゴシック" w:eastAsia="游ゴシック"/>
                <w:b w:val="0"/>
                <w:sz w:val="16"/>
              </w:rPr>
              <w:t>利用回（日）数と、介護予防・日常生活支援総合事業及び一般介護予防事業の量の見込みを掲げた</w:t>
            </w:r>
          </w:p>
        </w:tc>
        <w:tc>
          <w:tcPr>
            <w:tcW w:type="dxa" w:w="1701"/>
            <w:shd w:val="clear" w:color="auto" w:fill="F2F5FA"/>
            <w:vAlign w:val="center"/>
          </w:tcPr>
          <w:p>
            <w:pPr>
              <w:spacing w:after="0"/>
            </w:pPr>
            <w:r>
              <w:rPr>
                <w:rFonts w:ascii="游ゴシック" w:hAnsi="游ゴシック" w:eastAsia="游ゴシック"/>
                <w:b w:val="0"/>
                <w:sz w:val="16"/>
              </w:rPr>
              <w:t>第6章第2節・第3節2</w:t>
            </w:r>
          </w:p>
        </w:tc>
      </w:tr>
      <w:tr>
        <w:trPr>
          <w:cantSplit/>
        </w:trPr>
        <w:tc>
          <w:tcPr>
            <w:tcW w:type="dxa" w:w="794"/>
            <w:vAlign w:val="center"/>
          </w:tcPr>
          <w:p>
            <w:pPr>
              <w:spacing w:after="0"/>
              <w:jc w:val="center"/>
            </w:pPr>
            <w:r>
              <w:rPr>
                <w:rFonts w:ascii="游ゴシック" w:hAnsi="游ゴシック" w:eastAsia="游ゴシック"/>
                <w:b w:val="0"/>
                <w:sz w:val="16"/>
              </w:rPr>
              <w:t>No.112</w:t>
            </w:r>
          </w:p>
        </w:tc>
        <w:tc>
          <w:tcPr>
            <w:tcW w:type="dxa" w:w="2608"/>
            <w:vAlign w:val="center"/>
          </w:tcPr>
          <w:p>
            <w:pPr>
              <w:spacing w:after="0"/>
            </w:pPr>
            <w:r>
              <w:rPr>
                <w:rFonts w:ascii="游ゴシック" w:hAnsi="游ゴシック" w:eastAsia="游ゴシック"/>
                <w:b w:val="0"/>
                <w:sz w:val="16"/>
              </w:rPr>
              <w:t>地域支援事業の量の見込みを算定してよいか</w:t>
            </w:r>
          </w:p>
        </w:tc>
        <w:tc>
          <w:tcPr>
            <w:tcW w:type="dxa" w:w="4649"/>
            <w:vAlign w:val="center"/>
          </w:tcPr>
          <w:p>
            <w:pPr>
              <w:spacing w:after="0"/>
            </w:pPr>
            <w:r>
              <w:rPr>
                <w:rFonts w:ascii="游ゴシック" w:hAnsi="游ゴシック" w:eastAsia="游ゴシック"/>
                <w:b w:val="0"/>
                <w:sz w:val="16"/>
              </w:rPr>
              <w:t>令和6年度の利用者実人数を基礎として量の見込みを掲げ、令和7年度の実施状況は単位が異なるため別に示した</w:t>
            </w:r>
          </w:p>
        </w:tc>
        <w:tc>
          <w:tcPr>
            <w:tcW w:type="dxa" w:w="1701"/>
            <w:vAlign w:val="center"/>
          </w:tcPr>
          <w:p>
            <w:pPr>
              <w:spacing w:after="0"/>
            </w:pPr>
            <w:r>
              <w:rPr>
                <w:rFonts w:ascii="游ゴシック" w:hAnsi="游ゴシック" w:eastAsia="游ゴシック"/>
                <w:b w:val="0"/>
                <w:sz w:val="16"/>
              </w:rPr>
              <w:t>第6章第3節2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No.106</w:t>
            </w:r>
          </w:p>
        </w:tc>
        <w:tc>
          <w:tcPr>
            <w:tcW w:type="dxa" w:w="2608"/>
            <w:shd w:val="clear" w:color="auto" w:fill="F2F5FA"/>
            <w:vAlign w:val="center"/>
          </w:tcPr>
          <w:p>
            <w:pPr>
              <w:spacing w:after="0"/>
            </w:pPr>
            <w:r>
              <w:rPr>
                <w:rFonts w:ascii="游ゴシック" w:hAnsi="游ゴシック" w:eastAsia="游ゴシック"/>
                <w:b w:val="0"/>
                <w:sz w:val="16"/>
              </w:rPr>
              <w:t>見込量の伸びを一律からサービス別の趨勢を半分反映する置き方に改めるか</w:t>
            </w:r>
          </w:p>
        </w:tc>
        <w:tc>
          <w:tcPr>
            <w:tcW w:type="dxa" w:w="4649"/>
            <w:shd w:val="clear" w:color="auto" w:fill="F2F5FA"/>
            <w:vAlign w:val="center"/>
          </w:tcPr>
          <w:p>
            <w:pPr>
              <w:spacing w:after="0"/>
            </w:pPr>
            <w:r>
              <w:rPr>
                <w:rFonts w:ascii="游ゴシック" w:hAnsi="游ゴシック" w:eastAsia="游ゴシック"/>
                <w:b w:val="0"/>
                <w:sz w:val="16"/>
              </w:rPr>
              <w:t>サービス別の趨勢を反映する補正は行わず、補正した場合の月額への効きを併記した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No.105</w:t>
            </w:r>
          </w:p>
        </w:tc>
        <w:tc>
          <w:tcPr>
            <w:tcW w:type="dxa" w:w="2608"/>
            <w:vAlign w:val="center"/>
          </w:tcPr>
          <w:p>
            <w:pPr>
              <w:spacing w:after="0"/>
            </w:pPr>
            <w:r>
              <w:rPr>
                <w:rFonts w:ascii="游ゴシック" w:hAnsi="游ゴシック" w:eastAsia="游ゴシック"/>
                <w:b w:val="0"/>
                <w:sz w:val="16"/>
              </w:rPr>
              <w:t>施策反映を行うか。行う場合の対象と歯止め</w:t>
            </w:r>
          </w:p>
        </w:tc>
        <w:tc>
          <w:tcPr>
            <w:tcW w:type="dxa" w:w="4649"/>
            <w:vAlign w:val="center"/>
          </w:tcPr>
          <w:p>
            <w:pPr>
              <w:spacing w:after="0"/>
            </w:pPr>
            <w:r>
              <w:rPr>
                <w:rFonts w:ascii="游ゴシック" w:hAnsi="游ゴシック" w:eastAsia="游ゴシック"/>
                <w:b w:val="0"/>
                <w:sz w:val="16"/>
              </w:rPr>
              <w:t>施策による見込量の増減を織り込まなかった（自然体）</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No.137</w:t>
            </w:r>
          </w:p>
        </w:tc>
        <w:tc>
          <w:tcPr>
            <w:tcW w:type="dxa" w:w="2608"/>
            <w:shd w:val="clear" w:color="auto" w:fill="F2F5FA"/>
            <w:vAlign w:val="center"/>
          </w:tcPr>
          <w:p>
            <w:pPr>
              <w:spacing w:after="0"/>
            </w:pPr>
            <w:r>
              <w:rPr>
                <w:rFonts w:ascii="游ゴシック" w:hAnsi="游ゴシック" w:eastAsia="游ゴシック"/>
                <w:b w:val="0"/>
                <w:sz w:val="16"/>
              </w:rPr>
              <w:t>1人1月あたり給付費の実績値をどの年度にするか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単価を令和7年度で固定し、実績の趨勢を織り込んだ場合の月額への効きを併記した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No.110</w:t>
            </w:r>
          </w:p>
        </w:tc>
        <w:tc>
          <w:tcPr>
            <w:tcW w:type="dxa" w:w="2608"/>
            <w:vAlign w:val="center"/>
          </w:tcPr>
          <w:p>
            <w:pPr>
              <w:spacing w:after="0"/>
            </w:pPr>
            <w:r>
              <w:rPr>
                <w:rFonts w:ascii="游ゴシック" w:hAnsi="游ゴシック" w:eastAsia="游ゴシック"/>
                <w:b w:val="0"/>
                <w:sz w:val="16"/>
              </w:rPr>
              <w:t>給付適正化の効果を見込量に織り込まないことでよいか</w:t>
            </w:r>
          </w:p>
        </w:tc>
        <w:tc>
          <w:tcPr>
            <w:tcW w:type="dxa" w:w="4649"/>
            <w:vAlign w:val="center"/>
          </w:tcPr>
          <w:p>
            <w:pPr>
              <w:spacing w:after="0"/>
            </w:pPr>
            <w:r>
              <w:rPr>
                <w:rFonts w:ascii="游ゴシック" w:hAnsi="游ゴシック" w:eastAsia="游ゴシック"/>
                <w:b w:val="0"/>
                <w:sz w:val="16"/>
              </w:rPr>
              <w:t>給付の適正化による抑制を織り込まず、対象サービスの割合と10％抑制した場合の効きを併記した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No.150</w:t>
            </w:r>
          </w:p>
        </w:tc>
        <w:tc>
          <w:tcPr>
            <w:tcW w:type="dxa" w:w="2608"/>
            <w:shd w:val="clear" w:color="auto" w:fill="F2F5FA"/>
            <w:vAlign w:val="center"/>
          </w:tcPr>
          <w:p>
            <w:pPr>
              <w:spacing w:after="0"/>
            </w:pPr>
            <w:r>
              <w:rPr>
                <w:rFonts w:ascii="游ゴシック" w:hAnsi="游ゴシック" w:eastAsia="游ゴシック"/>
                <w:b w:val="0"/>
                <w:sz w:val="16"/>
              </w:rPr>
              <w:t>認知症総合支援事業の実績のご提供</w:t>
            </w:r>
          </w:p>
        </w:tc>
        <w:tc>
          <w:tcPr>
            <w:tcW w:type="dxa" w:w="4649"/>
            <w:shd w:val="clear" w:color="auto" w:fill="F2F5FA"/>
            <w:vAlign w:val="center"/>
          </w:tcPr>
          <w:p>
            <w:pPr>
              <w:spacing w:after="0"/>
            </w:pPr>
            <w:r>
              <w:rPr>
                <w:rFonts w:ascii="游ゴシック" w:hAnsi="游ゴシック" w:eastAsia="游ゴシック"/>
                <w:b w:val="0"/>
                <w:sz w:val="16"/>
              </w:rPr>
              <w:t>量の見込みは掲げず、構成3町の認知症総合支援事業の実施状況を掲げた</w:t>
            </w:r>
          </w:p>
        </w:tc>
        <w:tc>
          <w:tcPr>
            <w:tcW w:type="dxa" w:w="1701"/>
            <w:shd w:val="clear" w:color="auto" w:fill="F2F5FA"/>
            <w:vAlign w:val="center"/>
          </w:tcPr>
          <w:p>
            <w:pPr>
              <w:spacing w:after="0"/>
            </w:pPr>
            <w:r>
              <w:rPr>
                <w:rFonts w:ascii="游ゴシック" w:hAnsi="游ゴシック" w:eastAsia="游ゴシック"/>
                <w:b w:val="0"/>
                <w:sz w:val="16"/>
              </w:rPr>
              <w:t>第6章第3節2</w:t>
            </w:r>
          </w:p>
        </w:tc>
      </w:tr>
      <w:tr>
        <w:trPr>
          <w:cantSplit/>
        </w:trPr>
        <w:tc>
          <w:tcPr>
            <w:tcW w:type="dxa" w:w="794"/>
            <w:vAlign w:val="center"/>
          </w:tcPr>
          <w:p>
            <w:pPr>
              <w:spacing w:after="0"/>
              <w:jc w:val="center"/>
            </w:pPr>
            <w:r>
              <w:rPr>
                <w:rFonts w:ascii="游ゴシック" w:hAnsi="游ゴシック" w:eastAsia="游ゴシック"/>
                <w:b w:val="0"/>
                <w:sz w:val="16"/>
              </w:rPr>
              <w:t>No.98</w:t>
            </w:r>
          </w:p>
        </w:tc>
        <w:tc>
          <w:tcPr>
            <w:tcW w:type="dxa" w:w="2608"/>
            <w:vAlign w:val="center"/>
          </w:tcPr>
          <w:p>
            <w:pPr>
              <w:spacing w:after="0"/>
            </w:pPr>
            <w:r>
              <w:rPr>
                <w:rFonts w:ascii="游ゴシック" w:hAnsi="游ゴシック" w:eastAsia="游ゴシック"/>
                <w:b w:val="0"/>
                <w:sz w:val="16"/>
              </w:rPr>
              <w:t>基盤整備の選択肢として省令上の類型を計画に掲げるか</w:t>
            </w:r>
          </w:p>
        </w:tc>
        <w:tc>
          <w:tcPr>
            <w:tcW w:type="dxa" w:w="4649"/>
            <w:vAlign w:val="center"/>
          </w:tcPr>
          <w:p>
            <w:pPr>
              <w:spacing w:after="0"/>
            </w:pPr>
            <w:r>
              <w:rPr>
                <w:rFonts w:ascii="游ゴシック" w:hAnsi="游ゴシック" w:eastAsia="游ゴシック"/>
                <w:b w:val="0"/>
                <w:sz w:val="16"/>
              </w:rPr>
              <w:t>省令上の類型は計画に掲げていない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No.100</w:t>
            </w:r>
          </w:p>
        </w:tc>
        <w:tc>
          <w:tcPr>
            <w:tcW w:type="dxa" w:w="2608"/>
            <w:shd w:val="clear" w:color="auto" w:fill="F2F5FA"/>
            <w:vAlign w:val="center"/>
          </w:tcPr>
          <w:p>
            <w:pPr>
              <w:spacing w:after="0"/>
            </w:pPr>
            <w:r>
              <w:rPr>
                <w:rFonts w:ascii="游ゴシック" w:hAnsi="游ゴシック" w:eastAsia="游ゴシック"/>
                <w:b w:val="0"/>
                <w:sz w:val="16"/>
              </w:rPr>
              <w:t>サービス見込量及び給付費の算定に用いる基準年度と出所</w:t>
            </w:r>
          </w:p>
        </w:tc>
        <w:tc>
          <w:tcPr>
            <w:tcW w:type="dxa" w:w="4649"/>
            <w:shd w:val="clear" w:color="auto" w:fill="F2F5FA"/>
            <w:vAlign w:val="center"/>
          </w:tcPr>
          <w:p>
            <w:pPr>
              <w:spacing w:after="0"/>
            </w:pPr>
            <w:r>
              <w:rPr>
                <w:rFonts w:ascii="游ゴシック" w:hAnsi="游ゴシック" w:eastAsia="游ゴシック"/>
                <w:b w:val="0"/>
                <w:sz w:val="16"/>
              </w:rPr>
              <w:t>令和7年度を基準年度とし、総括表の単価により要介護度別の伸びで算定した</w:t>
            </w:r>
          </w:p>
        </w:tc>
        <w:tc>
          <w:tcPr>
            <w:tcW w:type="dxa" w:w="1701"/>
            <w:shd w:val="clear" w:color="auto" w:fill="F2F5FA"/>
            <w:vAlign w:val="center"/>
          </w:tcPr>
          <w:p>
            <w:pPr>
              <w:spacing w:after="0"/>
            </w:pPr>
            <w:r>
              <w:rPr>
                <w:rFonts w:ascii="游ゴシック" w:hAnsi="游ゴシック" w:eastAsia="游ゴシック"/>
                <w:b w:val="0"/>
                <w:sz w:val="16"/>
              </w:rPr>
              <w:t>第6章第2節・第3節</w:t>
            </w:r>
          </w:p>
        </w:tc>
      </w:tr>
      <w:tr>
        <w:trPr>
          <w:cantSplit/>
        </w:trPr>
        <w:tc>
          <w:tcPr>
            <w:tcW w:type="dxa" w:w="794"/>
            <w:vAlign w:val="center"/>
          </w:tcPr>
          <w:p>
            <w:pPr>
              <w:spacing w:after="0"/>
              <w:jc w:val="center"/>
            </w:pPr>
            <w:r>
              <w:rPr>
                <w:rFonts w:ascii="游ゴシック" w:hAnsi="游ゴシック" w:eastAsia="游ゴシック"/>
                <w:b w:val="0"/>
                <w:sz w:val="16"/>
              </w:rPr>
              <w:t>No.101</w:t>
            </w:r>
          </w:p>
        </w:tc>
        <w:tc>
          <w:tcPr>
            <w:tcW w:type="dxa" w:w="2608"/>
            <w:vAlign w:val="center"/>
          </w:tcPr>
          <w:p>
            <w:pPr>
              <w:spacing w:after="0"/>
            </w:pPr>
            <w:r>
              <w:rPr>
                <w:rFonts w:ascii="游ゴシック" w:hAnsi="游ゴシック" w:eastAsia="游ゴシック"/>
                <w:b w:val="0"/>
                <w:sz w:val="16"/>
              </w:rPr>
              <w:t>計画素案 第6章第2節2の見込量の表の数値の差し替え</w:t>
            </w:r>
          </w:p>
        </w:tc>
        <w:tc>
          <w:tcPr>
            <w:tcW w:type="dxa" w:w="4649"/>
            <w:vAlign w:val="center"/>
          </w:tcPr>
          <w:p>
            <w:pPr>
              <w:spacing w:after="0"/>
            </w:pPr>
            <w:r>
              <w:rPr>
                <w:rFonts w:ascii="游ゴシック" w:hAnsi="游ゴシック" w:eastAsia="游ゴシック"/>
                <w:b w:val="0"/>
                <w:sz w:val="16"/>
              </w:rPr>
              <w:t>第6章第2節の表は当方の算定による値とし、見える化システムの自然体推計による値は第6節2に対比として掲げた</w:t>
            </w:r>
          </w:p>
        </w:tc>
        <w:tc>
          <w:tcPr>
            <w:tcW w:type="dxa" w:w="1701"/>
            <w:vAlign w:val="center"/>
          </w:tcPr>
          <w:p>
            <w:pPr>
              <w:spacing w:after="0"/>
            </w:pPr>
            <w:r>
              <w:rPr>
                <w:rFonts w:ascii="游ゴシック" w:hAnsi="游ゴシック" w:eastAsia="游ゴシック"/>
                <w:b w:val="0"/>
                <w:sz w:val="16"/>
              </w:rPr>
              <w:t>第6章第2節・第6節2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No.103</w:t>
            </w:r>
          </w:p>
        </w:tc>
        <w:tc>
          <w:tcPr>
            <w:tcW w:type="dxa" w:w="2608"/>
            <w:shd w:val="clear" w:color="auto" w:fill="F2F5FA"/>
            <w:vAlign w:val="center"/>
          </w:tcPr>
          <w:p>
            <w:pPr>
              <w:spacing w:after="0"/>
            </w:pPr>
            <w:r>
              <w:rPr>
                <w:rFonts w:ascii="游ゴシック" w:hAnsi="游ゴシック" w:eastAsia="游ゴシック"/>
                <w:b w:val="0"/>
                <w:sz w:val="16"/>
              </w:rPr>
              <w:t>令和8年度を基準年度に用いず、季節を理由とする補正も行わないこと</w:t>
            </w:r>
          </w:p>
        </w:tc>
        <w:tc>
          <w:tcPr>
            <w:tcW w:type="dxa" w:w="4649"/>
            <w:shd w:val="clear" w:color="auto" w:fill="F2F5FA"/>
            <w:vAlign w:val="center"/>
          </w:tcPr>
          <w:p>
            <w:pPr>
              <w:spacing w:after="0"/>
            </w:pPr>
            <w:r>
              <w:rPr>
                <w:rFonts w:ascii="游ゴシック" w:hAnsi="游ゴシック" w:eastAsia="游ゴシック"/>
                <w:b w:val="0"/>
                <w:sz w:val="16"/>
              </w:rPr>
              <w:t>令和8年度（4か月）を基準年度に用いず、季節による補正も行わない旨を注に明示した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No.107</w:t>
            </w:r>
          </w:p>
        </w:tc>
        <w:tc>
          <w:tcPr>
            <w:tcW w:type="dxa" w:w="2608"/>
            <w:vAlign w:val="center"/>
          </w:tcPr>
          <w:p>
            <w:pPr>
              <w:spacing w:after="0"/>
            </w:pPr>
            <w:r>
              <w:rPr>
                <w:rFonts w:ascii="游ゴシック" w:hAnsi="游ゴシック" w:eastAsia="游ゴシック"/>
                <w:b w:val="0"/>
                <w:sz w:val="16"/>
              </w:rPr>
              <w:t>施設・居住系の実績の減少を将来へ延長するか</w:t>
            </w:r>
          </w:p>
        </w:tc>
        <w:tc>
          <w:tcPr>
            <w:tcW w:type="dxa" w:w="4649"/>
            <w:vAlign w:val="center"/>
          </w:tcPr>
          <w:p>
            <w:pPr>
              <w:spacing w:after="0"/>
            </w:pPr>
            <w:r>
              <w:rPr>
                <w:rFonts w:ascii="游ゴシック" w:hAnsi="游ゴシック" w:eastAsia="游ゴシック"/>
                <w:b w:val="0"/>
                <w:sz w:val="16"/>
              </w:rPr>
              <w:t>施設及び居住系サービスの定員の縮小の趨勢を将来へ延長しない旨を注に明示した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No.141</w:t>
            </w:r>
          </w:p>
        </w:tc>
        <w:tc>
          <w:tcPr>
            <w:tcW w:type="dxa" w:w="2608"/>
            <w:shd w:val="clear" w:color="auto" w:fill="F2F5FA"/>
            <w:vAlign w:val="center"/>
          </w:tcPr>
          <w:p>
            <w:pPr>
              <w:spacing w:after="0"/>
            </w:pPr>
            <w:r>
              <w:rPr>
                <w:rFonts w:ascii="游ゴシック" w:hAnsi="游ゴシック" w:eastAsia="游ゴシック"/>
                <w:b w:val="0"/>
                <w:sz w:val="16"/>
              </w:rPr>
              <w:t>区域を越えた施設利用の扱い</w:t>
            </w:r>
          </w:p>
        </w:tc>
        <w:tc>
          <w:tcPr>
            <w:tcW w:type="dxa" w:w="4649"/>
            <w:shd w:val="clear" w:color="auto" w:fill="F2F5FA"/>
            <w:vAlign w:val="center"/>
          </w:tcPr>
          <w:p>
            <w:pPr>
              <w:spacing w:after="0"/>
            </w:pPr>
            <w:r>
              <w:rPr>
                <w:rFonts w:ascii="游ゴシック" w:hAnsi="游ゴシック" w:eastAsia="游ゴシック"/>
                <w:b w:val="0"/>
                <w:sz w:val="16"/>
              </w:rPr>
              <w:t>必要利用定員総数は現に指定を受けている定員を基礎とするもので、第2節の見込量（当連合の被保険者の受給者数）とは数える対象が異なる旨を注に明示した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No.146</w:t>
            </w:r>
          </w:p>
        </w:tc>
        <w:tc>
          <w:tcPr>
            <w:tcW w:type="dxa" w:w="2608"/>
            <w:vAlign w:val="center"/>
          </w:tcPr>
          <w:p>
            <w:pPr>
              <w:spacing w:after="0"/>
            </w:pPr>
            <w:r>
              <w:rPr>
                <w:rFonts w:ascii="游ゴシック" w:hAnsi="游ゴシック" w:eastAsia="游ゴシック"/>
                <w:b w:val="0"/>
                <w:sz w:val="16"/>
              </w:rPr>
              <w:t>見込量の伸びを要介護度別に改めてよいか</w:t>
            </w:r>
          </w:p>
        </w:tc>
        <w:tc>
          <w:tcPr>
            <w:tcW w:type="dxa" w:w="4649"/>
            <w:vAlign w:val="center"/>
          </w:tcPr>
          <w:p>
            <w:pPr>
              <w:spacing w:after="0"/>
            </w:pPr>
            <w:r>
              <w:rPr>
                <w:rFonts w:ascii="游ゴシック" w:hAnsi="游ゴシック" w:eastAsia="游ゴシック"/>
                <w:b w:val="0"/>
                <w:sz w:val="16"/>
              </w:rPr>
              <w:t>要介護度別の伸びによる算定を採り、一律の伸びによる値との差を併記した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No.151</w:t>
            </w:r>
          </w:p>
        </w:tc>
        <w:tc>
          <w:tcPr>
            <w:tcW w:type="dxa" w:w="2608"/>
            <w:shd w:val="clear" w:color="auto" w:fill="F2F5FA"/>
            <w:vAlign w:val="center"/>
          </w:tcPr>
          <w:p>
            <w:pPr>
              <w:spacing w:after="0"/>
            </w:pPr>
            <w:r>
              <w:rPr>
                <w:rFonts w:ascii="游ゴシック" w:hAnsi="游ゴシック" w:eastAsia="游ゴシック"/>
                <w:b w:val="0"/>
                <w:sz w:val="16"/>
              </w:rPr>
              <w:t>認知症対応型共同生活介護を対計画比の補正の対象から外してよいか</w:t>
            </w:r>
          </w:p>
        </w:tc>
        <w:tc>
          <w:tcPr>
            <w:tcW w:type="dxa" w:w="4649"/>
            <w:shd w:val="clear" w:color="auto" w:fill="F2F5FA"/>
            <w:vAlign w:val="center"/>
          </w:tcPr>
          <w:p>
            <w:pPr>
              <w:spacing w:after="0"/>
            </w:pPr>
            <w:r>
              <w:rPr>
                <w:rFonts w:ascii="游ゴシック" w:hAnsi="游ゴシック" w:eastAsia="游ゴシック"/>
                <w:b w:val="0"/>
                <w:sz w:val="16"/>
              </w:rPr>
              <w:t>認知症対応型共同生活介護及び介護老人福祉施設は、実績の減少が定員の縮小によるものであるため、補正を行う場合でも対象から外す扱いとする旨を明示した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No.93</w:t>
            </w:r>
          </w:p>
        </w:tc>
        <w:tc>
          <w:tcPr>
            <w:tcW w:type="dxa" w:w="2608"/>
            <w:vAlign w:val="center"/>
          </w:tcPr>
          <w:p>
            <w:pPr>
              <w:spacing w:after="0"/>
            </w:pPr>
            <w:r>
              <w:rPr>
                <w:rFonts w:ascii="游ゴシック" w:hAnsi="游ゴシック" w:eastAsia="游ゴシック"/>
                <w:b w:val="0"/>
                <w:sz w:val="16"/>
              </w:rPr>
              <w:t>財政調整交付金の算定における給付適正化主要3事業の取組状況の勘案</w:t>
            </w:r>
          </w:p>
        </w:tc>
        <w:tc>
          <w:tcPr>
            <w:tcW w:type="dxa" w:w="4649"/>
            <w:vAlign w:val="center"/>
          </w:tcPr>
          <w:p>
            <w:pPr>
              <w:spacing w:after="0"/>
            </w:pPr>
            <w:r>
              <w:rPr>
                <w:rFonts w:ascii="游ゴシック" w:hAnsi="游ゴシック" w:eastAsia="游ゴシック"/>
                <w:b w:val="0"/>
                <w:sz w:val="16"/>
              </w:rPr>
              <w:t>主要3事業の取組状況が調整交付金の算定に勘案されることと、本計画がその減額を織り込んでいないことを明示した</w:t>
            </w:r>
          </w:p>
        </w:tc>
        <w:tc>
          <w:tcPr>
            <w:tcW w:type="dxa" w:w="1701"/>
            <w:vAlign w:val="center"/>
          </w:tcPr>
          <w:p>
            <w:pPr>
              <w:spacing w:after="0"/>
            </w:pPr>
            <w:r>
              <w:rPr>
                <w:rFonts w:ascii="游ゴシック" w:hAnsi="游ゴシック" w:eastAsia="游ゴシック"/>
                <w:b w:val="0"/>
                <w:sz w:val="16"/>
              </w:rPr>
              <w:t>第5章 基本目標5・第6章第6節4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No.82</w:t>
            </w:r>
          </w:p>
        </w:tc>
        <w:tc>
          <w:tcPr>
            <w:tcW w:type="dxa" w:w="2608"/>
            <w:shd w:val="clear" w:color="auto" w:fill="F2F5FA"/>
            <w:vAlign w:val="center"/>
          </w:tcPr>
          <w:p>
            <w:pPr>
              <w:spacing w:after="0"/>
            </w:pPr>
            <w:r>
              <w:rPr>
                <w:rFonts w:ascii="游ゴシック" w:hAnsi="游ゴシック" w:eastAsia="游ゴシック"/>
                <w:b w:val="0"/>
                <w:sz w:val="16"/>
              </w:rPr>
              <w:t>構成町の一般会計繰入金の町別按分の方法</w:t>
            </w:r>
          </w:p>
        </w:tc>
        <w:tc>
          <w:tcPr>
            <w:tcW w:type="dxa" w:w="4649"/>
            <w:shd w:val="clear" w:color="auto" w:fill="F2F5FA"/>
            <w:vAlign w:val="center"/>
          </w:tcPr>
          <w:p>
            <w:pPr>
              <w:spacing w:after="0"/>
            </w:pPr>
            <w:r>
              <w:rPr>
                <w:rFonts w:ascii="游ゴシック" w:hAnsi="游ゴシック" w:eastAsia="游ゴシック"/>
                <w:b w:val="0"/>
                <w:sz w:val="16"/>
              </w:rPr>
              <w:t>町別への按分は規約によるため算定できないものとして、構成町の一般会計繰入金は3町計の概算のみを示した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No.123</w:t>
            </w:r>
          </w:p>
        </w:tc>
        <w:tc>
          <w:tcPr>
            <w:tcW w:type="dxa" w:w="2608"/>
            <w:vAlign w:val="center"/>
          </w:tcPr>
          <w:p>
            <w:pPr>
              <w:spacing w:after="0"/>
            </w:pPr>
            <w:r>
              <w:rPr>
                <w:rFonts w:ascii="游ゴシック" w:hAnsi="游ゴシック" w:eastAsia="游ゴシック"/>
                <w:b w:val="0"/>
                <w:sz w:val="16"/>
              </w:rPr>
              <w:t>見える化システムの施設・居住系の画面から先へ進めない件</w:t>
            </w:r>
          </w:p>
        </w:tc>
        <w:tc>
          <w:tcPr>
            <w:tcW w:type="dxa" w:w="4649"/>
            <w:vAlign w:val="center"/>
          </w:tcPr>
          <w:p>
            <w:pPr>
              <w:spacing w:after="0"/>
            </w:pPr>
            <w:r>
              <w:rPr>
                <w:rFonts w:ascii="游ゴシック" w:hAnsi="游ゴシック" w:eastAsia="游ゴシック"/>
                <w:b w:val="0"/>
                <w:sz w:val="16"/>
              </w:rPr>
              <w:t>見える化システムの推計値は現行の自然体推計のまま、給付費の置き方の対比（③）として掲げた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No.126</w:t>
            </w:r>
          </w:p>
        </w:tc>
        <w:tc>
          <w:tcPr>
            <w:tcW w:type="dxa" w:w="2608"/>
            <w:shd w:val="clear" w:color="auto" w:fill="F2F5FA"/>
            <w:vAlign w:val="center"/>
          </w:tcPr>
          <w:p>
            <w:pPr>
              <w:spacing w:after="0"/>
            </w:pPr>
            <w:r>
              <w:rPr>
                <w:rFonts w:ascii="游ゴシック" w:hAnsi="游ゴシック" w:eastAsia="游ゴシック"/>
                <w:b w:val="0"/>
                <w:sz w:val="16"/>
              </w:rPr>
              <w:t>見える化システムの推計方式は基本推計でよいか</w:t>
            </w:r>
          </w:p>
        </w:tc>
        <w:tc>
          <w:tcPr>
            <w:tcW w:type="dxa" w:w="4649"/>
            <w:shd w:val="clear" w:color="auto" w:fill="F2F5FA"/>
            <w:vAlign w:val="center"/>
          </w:tcPr>
          <w:p>
            <w:pPr>
              <w:spacing w:after="0"/>
            </w:pPr>
            <w:r>
              <w:rPr>
                <w:rFonts w:ascii="游ゴシック" w:hAnsi="游ゴシック" w:eastAsia="游ゴシック"/>
                <w:b w:val="0"/>
                <w:sz w:val="16"/>
              </w:rPr>
              <w:t>年齢階級別の人口に階級別・要介護度別の認定率を乗じる方法（見える化システムの基本推計に近いもの）により算定した</w:t>
            </w:r>
          </w:p>
        </w:tc>
        <w:tc>
          <w:tcPr>
            <w:tcW w:type="dxa" w:w="1701"/>
            <w:shd w:val="clear" w:color="auto" w:fill="F2F5FA"/>
            <w:vAlign w:val="center"/>
          </w:tcPr>
          <w:p>
            <w:pPr>
              <w:spacing w:after="0"/>
            </w:pPr>
            <w:r>
              <w:rPr>
                <w:rFonts w:ascii="游ゴシック" w:hAnsi="游ゴシック" w:eastAsia="游ゴシック"/>
                <w:b w:val="0"/>
                <w:sz w:val="16"/>
              </w:rPr>
              <w:t>第6章第1節・第2節</w:t>
            </w:r>
          </w:p>
        </w:tc>
      </w:tr>
      <w:tr>
        <w:trPr>
          <w:cantSplit/>
        </w:trPr>
        <w:tc>
          <w:tcPr>
            <w:tcW w:type="dxa" w:w="794"/>
            <w:vAlign w:val="center"/>
          </w:tcPr>
          <w:p>
            <w:pPr>
              <w:spacing w:after="0"/>
              <w:jc w:val="center"/>
            </w:pPr>
            <w:r>
              <w:rPr>
                <w:rFonts w:ascii="游ゴシック" w:hAnsi="游ゴシック" w:eastAsia="游ゴシック"/>
                <w:b w:val="0"/>
                <w:sz w:val="16"/>
              </w:rPr>
              <w:t>No.130</w:t>
            </w:r>
          </w:p>
        </w:tc>
        <w:tc>
          <w:tcPr>
            <w:tcW w:type="dxa" w:w="2608"/>
            <w:vAlign w:val="center"/>
          </w:tcPr>
          <w:p>
            <w:pPr>
              <w:spacing w:after="0"/>
            </w:pPr>
            <w:r>
              <w:rPr>
                <w:rFonts w:ascii="游ゴシック" w:hAnsi="游ゴシック" w:eastAsia="游ゴシック"/>
                <w:b w:val="0"/>
                <w:sz w:val="16"/>
              </w:rPr>
              <w:t>認知症基本法第13条の市町村認知症施策推進計画をどう扱うか</w:t>
            </w:r>
          </w:p>
        </w:tc>
        <w:tc>
          <w:tcPr>
            <w:tcW w:type="dxa" w:w="4649"/>
            <w:vAlign w:val="center"/>
          </w:tcPr>
          <w:p>
            <w:pPr>
              <w:spacing w:after="0"/>
            </w:pPr>
            <w:r>
              <w:rPr>
                <w:rFonts w:ascii="游ゴシック" w:hAnsi="游ゴシック" w:eastAsia="游ゴシック"/>
                <w:b w:val="0"/>
                <w:sz w:val="16"/>
              </w:rPr>
              <w:t>認知症基本法第13条の市町村認知症施策推進計画は構成3町がそれぞれ策定するものとして反映した</w:t>
            </w:r>
          </w:p>
        </w:tc>
        <w:tc>
          <w:tcPr>
            <w:tcW w:type="dxa" w:w="1701"/>
            <w:vAlign w:val="center"/>
          </w:tcPr>
          <w:p>
            <w:pPr>
              <w:spacing w:after="0"/>
            </w:pPr>
            <w:r>
              <w:rPr>
                <w:rFonts w:ascii="游ゴシック" w:hAnsi="游ゴシック" w:eastAsia="游ゴシック"/>
                <w:b w:val="0"/>
                <w:sz w:val="16"/>
              </w:rPr>
              <w:t>第1章第2節・第8節・第5章 基本目標2・資料2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No.104</w:t>
            </w:r>
          </w:p>
        </w:tc>
        <w:tc>
          <w:tcPr>
            <w:tcW w:type="dxa" w:w="2608"/>
            <w:shd w:val="clear" w:color="auto" w:fill="F2F5FA"/>
            <w:vAlign w:val="center"/>
          </w:tcPr>
          <w:p>
            <w:pPr>
              <w:spacing w:after="0"/>
            </w:pPr>
            <w:r>
              <w:rPr>
                <w:rFonts w:ascii="游ゴシック" w:hAnsi="游ゴシック" w:eastAsia="游ゴシック"/>
                <w:b w:val="0"/>
                <w:sz w:val="16"/>
              </w:rPr>
              <w:t>第10期の単価を令和7年度で固定するか、令和8年度の水準を反映するか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単価を令和7年度で固定し、令和8年度の水準（残差）に置いた場合の月額への効きを据え置きの一覧に示した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No.109</w:t>
            </w:r>
          </w:p>
        </w:tc>
        <w:tc>
          <w:tcPr>
            <w:tcW w:type="dxa" w:w="2608"/>
            <w:vAlign w:val="center"/>
          </w:tcPr>
          <w:p>
            <w:pPr>
              <w:spacing w:after="0"/>
            </w:pPr>
            <w:r>
              <w:rPr>
                <w:rFonts w:ascii="游ゴシック" w:hAnsi="游ゴシック" w:eastAsia="游ゴシック"/>
                <w:b w:val="0"/>
                <w:sz w:val="16"/>
              </w:rPr>
              <w:t>第10期の単価を令和7年度で固定するか、実績の趨勢を置くか</w:t>
            </w:r>
          </w:p>
        </w:tc>
        <w:tc>
          <w:tcPr>
            <w:tcW w:type="dxa" w:w="4649"/>
            <w:vAlign w:val="center"/>
          </w:tcPr>
          <w:p>
            <w:pPr>
              <w:spacing w:after="0"/>
            </w:pPr>
            <w:r>
              <w:rPr>
                <w:rFonts w:ascii="游ゴシック" w:hAnsi="游ゴシック" w:eastAsia="游ゴシック"/>
                <w:b w:val="0"/>
                <w:sz w:val="16"/>
              </w:rPr>
              <w:t>単価を令和7年度で固定し、実績の趨勢を置いた場合の月額への効きを併記した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No.114</w:t>
            </w:r>
          </w:p>
        </w:tc>
        <w:tc>
          <w:tcPr>
            <w:tcW w:type="dxa" w:w="2608"/>
            <w:shd w:val="clear" w:color="auto" w:fill="F2F5FA"/>
            <w:vAlign w:val="center"/>
          </w:tcPr>
          <w:p>
            <w:pPr>
              <w:spacing w:after="0"/>
            </w:pPr>
            <w:r>
              <w:rPr>
                <w:rFonts w:ascii="游ゴシック" w:hAnsi="游ゴシック" w:eastAsia="游ゴシック"/>
                <w:b w:val="0"/>
                <w:sz w:val="16"/>
              </w:rPr>
              <w:t>令和22年度までの中長期推計をどこまで算定するか</w:t>
            </w:r>
          </w:p>
        </w:tc>
        <w:tc>
          <w:tcPr>
            <w:tcW w:type="dxa" w:w="4649"/>
            <w:shd w:val="clear" w:color="auto" w:fill="F2F5FA"/>
            <w:vAlign w:val="center"/>
          </w:tcPr>
          <w:p>
            <w:pPr>
              <w:spacing w:after="0"/>
            </w:pPr>
            <w:r>
              <w:rPr>
                <w:rFonts w:ascii="游ゴシック" w:hAnsi="游ゴシック" w:eastAsia="游ゴシック"/>
                <w:b w:val="0"/>
                <w:sz w:val="16"/>
              </w:rPr>
              <w:t>計画本文に掲げる中長期推計は令和17年度・令和22年度とし、見込量・給付費・保険料のいずれも単価を令和7年度で固定して算定した</w:t>
            </w:r>
          </w:p>
        </w:tc>
        <w:tc>
          <w:tcPr>
            <w:tcW w:type="dxa" w:w="1701"/>
            <w:shd w:val="clear" w:color="auto" w:fill="F2F5FA"/>
            <w:vAlign w:val="center"/>
          </w:tcPr>
          <w:p>
            <w:pPr>
              <w:spacing w:after="0"/>
            </w:pPr>
            <w:r>
              <w:rPr>
                <w:rFonts w:ascii="游ゴシック" w:hAnsi="游ゴシック" w:eastAsia="游ゴシック"/>
                <w:b w:val="0"/>
                <w:sz w:val="16"/>
              </w:rPr>
              <w:t>第6章第1節・第3節</w:t>
            </w:r>
          </w:p>
        </w:tc>
      </w:tr>
      <w:tr>
        <w:trPr>
          <w:cantSplit/>
        </w:trPr>
        <w:tc>
          <w:tcPr>
            <w:tcW w:type="dxa" w:w="794"/>
            <w:vAlign w:val="center"/>
          </w:tcPr>
          <w:p>
            <w:pPr>
              <w:spacing w:after="0"/>
              <w:jc w:val="center"/>
            </w:pPr>
            <w:r>
              <w:rPr>
                <w:rFonts w:ascii="游ゴシック" w:hAnsi="游ゴシック" w:eastAsia="游ゴシック"/>
                <w:b w:val="0"/>
                <w:sz w:val="16"/>
              </w:rPr>
              <w:t>No.132</w:t>
            </w:r>
          </w:p>
        </w:tc>
        <w:tc>
          <w:tcPr>
            <w:tcW w:type="dxa" w:w="2608"/>
            <w:vAlign w:val="center"/>
          </w:tcPr>
          <w:p>
            <w:pPr>
              <w:spacing w:after="0"/>
            </w:pPr>
            <w:r>
              <w:rPr>
                <w:rFonts w:ascii="游ゴシック" w:hAnsi="游ゴシック" w:eastAsia="游ゴシック"/>
                <w:b w:val="0"/>
                <w:sz w:val="16"/>
              </w:rPr>
              <w:t>在宅サービスの実績見込み値の編集画面の現在値のご提供</w:t>
            </w:r>
          </w:p>
        </w:tc>
        <w:tc>
          <w:tcPr>
            <w:tcW w:type="dxa" w:w="4649"/>
            <w:vAlign w:val="center"/>
          </w:tcPr>
          <w:p>
            <w:pPr>
              <w:spacing w:after="0"/>
            </w:pPr>
            <w:r>
              <w:rPr>
                <w:rFonts w:ascii="游ゴシック" w:hAnsi="游ゴシック" w:eastAsia="游ゴシック"/>
                <w:b w:val="0"/>
                <w:sz w:val="16"/>
              </w:rPr>
              <w:t>在宅サービスの実績見込み値は当方の入力案のまま置いた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No.142</w:t>
            </w:r>
          </w:p>
        </w:tc>
        <w:tc>
          <w:tcPr>
            <w:tcW w:type="dxa" w:w="2608"/>
            <w:shd w:val="clear" w:color="auto" w:fill="F2F5FA"/>
            <w:vAlign w:val="center"/>
          </w:tcPr>
          <w:p>
            <w:pPr>
              <w:spacing w:after="0"/>
            </w:pPr>
            <w:r>
              <w:rPr>
                <w:rFonts w:ascii="游ゴシック" w:hAnsi="游ゴシック" w:eastAsia="游ゴシック"/>
                <w:b w:val="0"/>
                <w:sz w:val="16"/>
              </w:rPr>
              <w:t>第1次概算を既定値のまま出してよいか</w:t>
            </w:r>
          </w:p>
        </w:tc>
        <w:tc>
          <w:tcPr>
            <w:tcW w:type="dxa" w:w="4649"/>
            <w:shd w:val="clear" w:color="auto" w:fill="F2F5FA"/>
            <w:vAlign w:val="center"/>
          </w:tcPr>
          <w:p>
            <w:pPr>
              <w:spacing w:after="0"/>
            </w:pPr>
            <w:r>
              <w:rPr>
                <w:rFonts w:ascii="游ゴシック" w:hAnsi="游ゴシック" w:eastAsia="游ゴシック"/>
                <w:b w:val="0"/>
                <w:sz w:val="16"/>
              </w:rPr>
              <w:t>ご決定をお待ちしている事項は既定値によって算定していることを算定の冒頭に明示した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No.145</w:t>
            </w:r>
          </w:p>
        </w:tc>
        <w:tc>
          <w:tcPr>
            <w:tcW w:type="dxa" w:w="2608"/>
            <w:vAlign w:val="center"/>
          </w:tcPr>
          <w:p>
            <w:pPr>
              <w:spacing w:after="0"/>
            </w:pPr>
            <w:r>
              <w:rPr>
                <w:rFonts w:ascii="游ゴシック" w:hAnsi="游ゴシック" w:eastAsia="游ゴシック"/>
                <w:b w:val="0"/>
                <w:sz w:val="16"/>
              </w:rPr>
              <w:t>計画作成支援ツールと年報のどちらを町別の値に用いるか</w:t>
            </w:r>
          </w:p>
        </w:tc>
        <w:tc>
          <w:tcPr>
            <w:tcW w:type="dxa" w:w="4649"/>
            <w:vAlign w:val="center"/>
          </w:tcPr>
          <w:p>
            <w:pPr>
              <w:spacing w:after="0"/>
            </w:pPr>
            <w:r>
              <w:rPr>
                <w:rFonts w:ascii="游ゴシック" w:hAnsi="游ゴシック" w:eastAsia="游ゴシック"/>
                <w:b w:val="0"/>
                <w:sz w:val="16"/>
              </w:rPr>
              <w:t>サービス見込量・給付費・保険料は年報（保険者単位）により算定し、町別データシートは計画作成支援ツールの値のまま示したうえで、3町を足しても年報の値にならない旨を注記した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No.147</w:t>
            </w:r>
          </w:p>
        </w:tc>
        <w:tc>
          <w:tcPr>
            <w:tcW w:type="dxa" w:w="2608"/>
            <w:shd w:val="clear" w:color="auto" w:fill="F2F5FA"/>
            <w:vAlign w:val="center"/>
          </w:tcPr>
          <w:p>
            <w:pPr>
              <w:spacing w:after="0"/>
            </w:pPr>
            <w:r>
              <w:rPr>
                <w:rFonts w:ascii="游ゴシック" w:hAnsi="游ゴシック" w:eastAsia="游ゴシック"/>
                <w:b w:val="0"/>
                <w:sz w:val="16"/>
              </w:rPr>
              <w:t>見える化システムの伸びの選択肢をどれとするか</w:t>
            </w:r>
          </w:p>
        </w:tc>
        <w:tc>
          <w:tcPr>
            <w:tcW w:type="dxa" w:w="4649"/>
            <w:shd w:val="clear" w:color="auto" w:fill="F2F5FA"/>
            <w:vAlign w:val="center"/>
          </w:tcPr>
          <w:p>
            <w:pPr>
              <w:spacing w:after="0"/>
            </w:pPr>
            <w:r>
              <w:rPr>
                <w:rFonts w:ascii="游ゴシック" w:hAnsi="游ゴシック" w:eastAsia="游ゴシック"/>
                <w:b w:val="0"/>
                <w:sz w:val="16"/>
              </w:rPr>
              <w:t>見える化システムの伸びは令和8年度を含まない（令和6年度→令和7年度）を採ったものとして入力値を示した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No.84</w:t>
            </w:r>
          </w:p>
        </w:tc>
        <w:tc>
          <w:tcPr>
            <w:tcW w:type="dxa" w:w="2608"/>
            <w:vAlign w:val="center"/>
          </w:tcPr>
          <w:p>
            <w:pPr>
              <w:spacing w:after="0"/>
            </w:pPr>
            <w:r>
              <w:rPr>
                <w:rFonts w:ascii="游ゴシック" w:hAnsi="游ゴシック" w:eastAsia="游ゴシック"/>
                <w:b w:val="0"/>
                <w:sz w:val="16"/>
              </w:rPr>
              <w:t>東川町の施設整備・サービス提供方針</w:t>
            </w:r>
          </w:p>
        </w:tc>
        <w:tc>
          <w:tcPr>
            <w:tcW w:type="dxa" w:w="4649"/>
            <w:vAlign w:val="center"/>
          </w:tcPr>
          <w:p>
            <w:pPr>
              <w:spacing w:after="0"/>
            </w:pPr>
            <w:r>
              <w:rPr>
                <w:rFonts w:ascii="游ゴシック" w:hAnsi="游ゴシック" w:eastAsia="游ゴシック"/>
                <w:b w:val="0"/>
                <w:sz w:val="16"/>
              </w:rPr>
              <w:t>現定員の据え置き案を掲げ、本文は［要協議］のまま残した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No.116</w:t>
            </w:r>
          </w:p>
        </w:tc>
        <w:tc>
          <w:tcPr>
            <w:tcW w:type="dxa" w:w="2608"/>
            <w:shd w:val="clear" w:color="auto" w:fill="F2F5FA"/>
            <w:vAlign w:val="center"/>
          </w:tcPr>
          <w:p>
            <w:pPr>
              <w:spacing w:after="0"/>
            </w:pPr>
            <w:r>
              <w:rPr>
                <w:rFonts w:ascii="游ゴシック" w:hAnsi="游ゴシック" w:eastAsia="游ゴシック"/>
                <w:b w:val="0"/>
                <w:sz w:val="16"/>
              </w:rPr>
              <w:t>介護人材の確保状況を供給の制約として見込量に反映するか</w:t>
            </w:r>
          </w:p>
        </w:tc>
        <w:tc>
          <w:tcPr>
            <w:tcW w:type="dxa" w:w="4649"/>
            <w:shd w:val="clear" w:color="auto" w:fill="F2F5FA"/>
            <w:vAlign w:val="center"/>
          </w:tcPr>
          <w:p>
            <w:pPr>
              <w:spacing w:after="0"/>
            </w:pPr>
            <w:r>
              <w:rPr>
                <w:rFonts w:ascii="游ゴシック" w:hAnsi="游ゴシック" w:eastAsia="游ゴシック"/>
                <w:b w:val="0"/>
                <w:sz w:val="16"/>
              </w:rPr>
              <w:t>供給の制約（人材）を見込量に反映せず、需要のみで算定した旨を注に明示した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No.152</w:t>
            </w:r>
          </w:p>
        </w:tc>
        <w:tc>
          <w:tcPr>
            <w:tcW w:type="dxa" w:w="2608"/>
            <w:vAlign w:val="center"/>
          </w:tcPr>
          <w:p>
            <w:pPr>
              <w:spacing w:after="0"/>
            </w:pPr>
            <w:r>
              <w:rPr>
                <w:rFonts w:ascii="游ゴシック" w:hAnsi="游ゴシック" w:eastAsia="游ゴシック"/>
                <w:b w:val="0"/>
                <w:sz w:val="16"/>
              </w:rPr>
              <w:t>町別の人口の将来推計を計画本文に掲げるか</w:t>
            </w:r>
          </w:p>
        </w:tc>
        <w:tc>
          <w:tcPr>
            <w:tcW w:type="dxa" w:w="4649"/>
            <w:vAlign w:val="center"/>
          </w:tcPr>
          <w:p>
            <w:pPr>
              <w:spacing w:after="0"/>
            </w:pPr>
            <w:r>
              <w:rPr>
                <w:rFonts w:ascii="游ゴシック" w:hAnsi="游ゴシック" w:eastAsia="游ゴシック"/>
                <w:b w:val="0"/>
                <w:sz w:val="16"/>
              </w:rPr>
              <w:t>町別の人口の将来推計は計画本文に掲げていない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No.153</w:t>
            </w:r>
          </w:p>
        </w:tc>
        <w:tc>
          <w:tcPr>
            <w:tcW w:type="dxa" w:w="2608"/>
            <w:shd w:val="clear" w:color="auto" w:fill="F2F5FA"/>
            <w:vAlign w:val="center"/>
          </w:tcPr>
          <w:p>
            <w:pPr>
              <w:spacing w:after="0"/>
            </w:pPr>
            <w:r>
              <w:rPr>
                <w:rFonts w:ascii="游ゴシック" w:hAnsi="游ゴシック" w:eastAsia="游ゴシック"/>
                <w:b w:val="0"/>
                <w:sz w:val="16"/>
              </w:rPr>
              <w:t>人口の将来推計の方法を案Cからコーホート変化率法に改めるか</w:t>
            </w:r>
          </w:p>
        </w:tc>
        <w:tc>
          <w:tcPr>
            <w:tcW w:type="dxa" w:w="4649"/>
            <w:shd w:val="clear" w:color="auto" w:fill="F2F5FA"/>
            <w:vAlign w:val="center"/>
          </w:tcPr>
          <w:p>
            <w:pPr>
              <w:spacing w:after="0"/>
            </w:pPr>
            <w:r>
              <w:rPr>
                <w:rFonts w:ascii="游ゴシック" w:hAnsi="游ゴシック" w:eastAsia="游ゴシック"/>
                <w:b w:val="0"/>
                <w:sz w:val="16"/>
              </w:rPr>
              <w:t>人口の将来推計は案C（地方創生総合戦略と住民基本台帳の実績趨勢）によった</w:t>
            </w:r>
          </w:p>
        </w:tc>
        <w:tc>
          <w:tcPr>
            <w:tcW w:type="dxa" w:w="1701"/>
            <w:shd w:val="clear" w:color="auto" w:fill="F2F5FA"/>
            <w:vAlign w:val="center"/>
          </w:tcPr>
          <w:p>
            <w:pPr>
              <w:spacing w:after="0"/>
            </w:pPr>
            <w:r>
              <w:rPr>
                <w:rFonts w:ascii="游ゴシック" w:hAnsi="游ゴシック" w:eastAsia="游ゴシック"/>
                <w:b w:val="0"/>
                <w:sz w:val="16"/>
              </w:rPr>
              <w:t>第2章第1節・第6章第1節</w:t>
            </w:r>
          </w:p>
        </w:tc>
      </w:tr>
      <w:tr>
        <w:trPr>
          <w:cantSplit/>
        </w:trPr>
        <w:tc>
          <w:tcPr>
            <w:tcW w:type="dxa" w:w="794"/>
            <w:vAlign w:val="center"/>
          </w:tcPr>
          <w:p>
            <w:pPr>
              <w:spacing w:after="0"/>
              <w:jc w:val="center"/>
            </w:pPr>
            <w:r>
              <w:rPr>
                <w:rFonts w:ascii="游ゴシック" w:hAnsi="游ゴシック" w:eastAsia="游ゴシック"/>
                <w:b w:val="0"/>
                <w:sz w:val="16"/>
              </w:rPr>
              <w:t>No.7</w:t>
            </w:r>
          </w:p>
        </w:tc>
        <w:tc>
          <w:tcPr>
            <w:tcW w:type="dxa" w:w="2608"/>
            <w:vAlign w:val="center"/>
          </w:tcPr>
          <w:p>
            <w:pPr>
              <w:spacing w:after="0"/>
            </w:pPr>
            <w:r>
              <w:rPr>
                <w:rFonts w:ascii="游ゴシック" w:hAnsi="游ゴシック" w:eastAsia="游ゴシック"/>
                <w:b w:val="0"/>
                <w:sz w:val="16"/>
              </w:rPr>
              <w:t>第9期の自己評価と北海道への報告の実績</w:t>
            </w:r>
          </w:p>
        </w:tc>
        <w:tc>
          <w:tcPr>
            <w:tcW w:type="dxa" w:w="4649"/>
            <w:vAlign w:val="center"/>
          </w:tcPr>
          <w:p>
            <w:pPr>
              <w:spacing w:after="0"/>
            </w:pPr>
            <w:r>
              <w:rPr>
                <w:rFonts w:ascii="游ゴシック" w:hAnsi="游ゴシック" w:eastAsia="游ゴシック"/>
                <w:b w:val="0"/>
                <w:sz w:val="16"/>
              </w:rPr>
              <w:t>第9期の自己評価及び北海道への報告の実績は確認できないものとして、毎年度の自己評価の結果を策定委員会へ報告し北海道への報告にも用いることを置いた</w:t>
            </w:r>
          </w:p>
        </w:tc>
        <w:tc>
          <w:tcPr>
            <w:tcW w:type="dxa" w:w="1701"/>
            <w:vAlign w:val="center"/>
          </w:tcPr>
          <w:p>
            <w:pPr>
              <w:spacing w:after="0"/>
            </w:pPr>
            <w:r>
              <w:rPr>
                <w:rFonts w:ascii="游ゴシック" w:hAnsi="游ゴシック" w:eastAsia="游ゴシック"/>
                <w:b w:val="0"/>
                <w:sz w:val="16"/>
              </w:rPr>
              <w:t>第1章第6節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No.86</w:t>
            </w:r>
          </w:p>
        </w:tc>
        <w:tc>
          <w:tcPr>
            <w:tcW w:type="dxa" w:w="2608"/>
            <w:shd w:val="clear" w:color="auto" w:fill="F2F5FA"/>
            <w:vAlign w:val="center"/>
          </w:tcPr>
          <w:p>
            <w:pPr>
              <w:spacing w:after="0"/>
            </w:pPr>
            <w:r>
              <w:rPr>
                <w:rFonts w:ascii="游ゴシック" w:hAnsi="游ゴシック" w:eastAsia="游ゴシック"/>
                <w:b w:val="0"/>
                <w:sz w:val="16"/>
              </w:rPr>
              <w:t>保険者機能強化推進交付金等の交付見込額の保険料収納必要額からの控除</w:t>
            </w:r>
          </w:p>
        </w:tc>
        <w:tc>
          <w:tcPr>
            <w:tcW w:type="dxa" w:w="4649"/>
            <w:shd w:val="clear" w:color="auto" w:fill="F2F5FA"/>
            <w:vAlign w:val="center"/>
          </w:tcPr>
          <w:p>
            <w:pPr>
              <w:spacing w:after="0"/>
            </w:pPr>
            <w:r>
              <w:rPr>
                <w:rFonts w:ascii="游ゴシック" w:hAnsi="游ゴシック" w:eastAsia="游ゴシック"/>
                <w:b w:val="0"/>
                <w:sz w:val="16"/>
              </w:rPr>
              <w:t>地域支援事業費（B）から交付金を財源とする2事業を除く方法により、保険料収納必要額からの控除は行わない旨（二重控除を避ける）を明示した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No.94</w:t>
            </w:r>
          </w:p>
        </w:tc>
        <w:tc>
          <w:tcPr>
            <w:tcW w:type="dxa" w:w="2608"/>
            <w:vAlign w:val="center"/>
          </w:tcPr>
          <w:p>
            <w:pPr>
              <w:spacing w:after="0"/>
            </w:pPr>
            <w:r>
              <w:rPr>
                <w:rFonts w:ascii="游ゴシック" w:hAnsi="游ゴシック" w:eastAsia="游ゴシック"/>
                <w:b w:val="0"/>
                <w:sz w:val="16"/>
              </w:rPr>
              <w:t>給付適正化計画の位置づけ（案Bの採用）と毎年度の目標の記載場所</w:t>
            </w:r>
          </w:p>
        </w:tc>
        <w:tc>
          <w:tcPr>
            <w:tcW w:type="dxa" w:w="4649"/>
            <w:vAlign w:val="center"/>
          </w:tcPr>
          <w:p>
            <w:pPr>
              <w:spacing w:after="0"/>
            </w:pPr>
            <w:r>
              <w:rPr>
                <w:rFonts w:ascii="游ゴシック" w:hAnsi="游ゴシック" w:eastAsia="游ゴシック"/>
                <w:b w:val="0"/>
                <w:sz w:val="16"/>
              </w:rPr>
              <w:t>給付適正化計画は第9期と同じく施策として置き、施策名のかっこ書きで第7期給付適正化計画であることを示した</w:t>
            </w:r>
          </w:p>
        </w:tc>
        <w:tc>
          <w:tcPr>
            <w:tcW w:type="dxa" w:w="1701"/>
            <w:vAlign w:val="center"/>
          </w:tcPr>
          <w:p>
            <w:pPr>
              <w:spacing w:after="0"/>
            </w:pPr>
            <w:r>
              <w:rPr>
                <w:rFonts w:ascii="游ゴシック" w:hAnsi="游ゴシック" w:eastAsia="游ゴシック"/>
                <w:b w:val="0"/>
                <w:sz w:val="16"/>
              </w:rPr>
              <w:t>第1章第2節・第5章 基本目標5・資料5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No.128</w:t>
            </w:r>
          </w:p>
        </w:tc>
        <w:tc>
          <w:tcPr>
            <w:tcW w:type="dxa" w:w="2608"/>
            <w:shd w:val="clear" w:color="auto" w:fill="F2F5FA"/>
            <w:vAlign w:val="center"/>
          </w:tcPr>
          <w:p>
            <w:pPr>
              <w:spacing w:after="0"/>
            </w:pPr>
            <w:r>
              <w:rPr>
                <w:rFonts w:ascii="游ゴシック" w:hAnsi="游ゴシック" w:eastAsia="游ゴシック"/>
                <w:b w:val="0"/>
                <w:sz w:val="16"/>
              </w:rPr>
              <w:t>令和8年度の実績見込み値を編集するか</w:t>
            </w:r>
          </w:p>
        </w:tc>
        <w:tc>
          <w:tcPr>
            <w:tcW w:type="dxa" w:w="4649"/>
            <w:shd w:val="clear" w:color="auto" w:fill="F2F5FA"/>
            <w:vAlign w:val="center"/>
          </w:tcPr>
          <w:p>
            <w:pPr>
              <w:spacing w:after="0"/>
            </w:pPr>
            <w:r>
              <w:rPr>
                <w:rFonts w:ascii="游ゴシック" w:hAnsi="游ゴシック" w:eastAsia="游ゴシック"/>
                <w:b w:val="0"/>
                <w:sz w:val="16"/>
              </w:rPr>
              <w:t>見える化システムの令和8年度の実績見込み値は編集しないものとして入力値を示し、当方の算定（令和7年度基準）との差として残した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No.129</w:t>
            </w:r>
          </w:p>
        </w:tc>
        <w:tc>
          <w:tcPr>
            <w:tcW w:type="dxa" w:w="2608"/>
            <w:vAlign w:val="center"/>
          </w:tcPr>
          <w:p>
            <w:pPr>
              <w:spacing w:after="0"/>
            </w:pPr>
            <w:r>
              <w:rPr>
                <w:rFonts w:ascii="游ゴシック" w:hAnsi="游ゴシック" w:eastAsia="游ゴシック"/>
                <w:b w:val="0"/>
                <w:sz w:val="16"/>
              </w:rPr>
              <w:t>見える化システムの利用率等の伸びの選択</w:t>
            </w:r>
          </w:p>
        </w:tc>
        <w:tc>
          <w:tcPr>
            <w:tcW w:type="dxa" w:w="4649"/>
            <w:vAlign w:val="center"/>
          </w:tcPr>
          <w:p>
            <w:pPr>
              <w:spacing w:after="0"/>
            </w:pPr>
            <w:r>
              <w:rPr>
                <w:rFonts w:ascii="游ゴシック" w:hAnsi="游ゴシック" w:eastAsia="游ゴシック"/>
                <w:b w:val="0"/>
                <w:sz w:val="16"/>
              </w:rPr>
              <w:t>見える化システムの利用率等の伸びは令和8年度を含まない（令和6年度→令和7年度）を選んだものとして入力値を示した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No.33</w:t>
            </w:r>
          </w:p>
        </w:tc>
        <w:tc>
          <w:tcPr>
            <w:tcW w:type="dxa" w:w="2608"/>
            <w:shd w:val="clear" w:color="auto" w:fill="F2F5FA"/>
            <w:vAlign w:val="center"/>
          </w:tcPr>
          <w:p>
            <w:pPr>
              <w:spacing w:after="0"/>
            </w:pPr>
            <w:r>
              <w:rPr>
                <w:rFonts w:ascii="游ゴシック" w:hAnsi="游ゴシック" w:eastAsia="游ゴシック"/>
                <w:b w:val="0"/>
                <w:sz w:val="16"/>
              </w:rPr>
              <w:t>第10期の政令改正の内容（所得段階）</w:t>
            </w:r>
          </w:p>
        </w:tc>
        <w:tc>
          <w:tcPr>
            <w:tcW w:type="dxa" w:w="4649"/>
            <w:shd w:val="clear" w:color="auto" w:fill="F2F5FA"/>
            <w:vAlign w:val="center"/>
          </w:tcPr>
          <w:p>
            <w:pPr>
              <w:spacing w:after="0"/>
            </w:pPr>
            <w:r>
              <w:rPr>
                <w:rFonts w:ascii="游ゴシック" w:hAnsi="游ゴシック" w:eastAsia="游ゴシック"/>
                <w:b w:val="0"/>
                <w:sz w:val="16"/>
              </w:rPr>
              <w:t>所得段階は第9期の条例による16段階と公費による軽減前の割合を据え置いて算定し、政令の公布後に再算定する旨を明示した</w:t>
            </w:r>
          </w:p>
        </w:tc>
        <w:tc>
          <w:tcPr>
            <w:tcW w:type="dxa" w:w="1701"/>
            <w:shd w:val="clear" w:color="auto" w:fill="F2F5FA"/>
            <w:vAlign w:val="center"/>
          </w:tcPr>
          <w:p>
            <w:pPr>
              <w:spacing w:after="0"/>
            </w:pPr>
            <w:r>
              <w:rPr>
                <w:rFonts w:ascii="游ゴシック" w:hAnsi="游ゴシック" w:eastAsia="游ゴシック"/>
                <w:b w:val="0"/>
                <w:sz w:val="16"/>
              </w:rPr>
              <w:t>第6章第6節</w:t>
            </w:r>
          </w:p>
        </w:tc>
      </w:tr>
      <w:tr>
        <w:trPr>
          <w:cantSplit/>
        </w:trPr>
        <w:tc>
          <w:tcPr>
            <w:tcW w:type="dxa" w:w="794"/>
            <w:vAlign w:val="center"/>
          </w:tcPr>
          <w:p>
            <w:pPr>
              <w:spacing w:after="0"/>
              <w:jc w:val="center"/>
            </w:pPr>
            <w:r>
              <w:rPr>
                <w:rFonts w:ascii="游ゴシック" w:hAnsi="游ゴシック" w:eastAsia="游ゴシック"/>
                <w:b w:val="0"/>
                <w:sz w:val="16"/>
              </w:rPr>
              <w:t>No.39</w:t>
            </w:r>
          </w:p>
        </w:tc>
        <w:tc>
          <w:tcPr>
            <w:tcW w:type="dxa" w:w="2608"/>
            <w:vAlign w:val="center"/>
          </w:tcPr>
          <w:p>
            <w:pPr>
              <w:spacing w:after="0"/>
            </w:pPr>
            <w:r>
              <w:rPr>
                <w:rFonts w:ascii="游ゴシック" w:hAnsi="游ゴシック" w:eastAsia="游ゴシック"/>
                <w:b w:val="0"/>
                <w:sz w:val="16"/>
              </w:rPr>
              <w:t>中間報告・施策体系新旧対照表・骨子案のご確認</w:t>
            </w:r>
          </w:p>
        </w:tc>
        <w:tc>
          <w:tcPr>
            <w:tcW w:type="dxa" w:w="4649"/>
            <w:vAlign w:val="center"/>
          </w:tcPr>
          <w:p>
            <w:pPr>
              <w:spacing w:after="0"/>
            </w:pPr>
            <w:r>
              <w:rPr>
                <w:rFonts w:ascii="游ゴシック" w:hAnsi="游ゴシック" w:eastAsia="游ゴシック"/>
                <w:b w:val="0"/>
                <w:sz w:val="16"/>
              </w:rPr>
              <w:t>代表KPIは第9期計画の目標指標を引き継ぎ、別の指標を新たに起こしていないこと及び改称により第9期の系列と接続しないことを明示した</w:t>
            </w:r>
          </w:p>
        </w:tc>
        <w:tc>
          <w:tcPr>
            <w:tcW w:type="dxa" w:w="1701"/>
            <w:vAlign w:val="center"/>
          </w:tcPr>
          <w:p>
            <w:pPr>
              <w:spacing w:after="0"/>
            </w:pPr>
            <w:r>
              <w:rPr>
                <w:rFonts w:ascii="游ゴシック" w:hAnsi="游ゴシック" w:eastAsia="游ゴシック"/>
                <w:b w:val="0"/>
                <w:sz w:val="16"/>
              </w:rPr>
              <w:t>第4章第3節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No.40</w:t>
            </w:r>
          </w:p>
        </w:tc>
        <w:tc>
          <w:tcPr>
            <w:tcW w:type="dxa" w:w="2608"/>
            <w:shd w:val="clear" w:color="auto" w:fill="F2F5FA"/>
            <w:vAlign w:val="center"/>
          </w:tcPr>
          <w:p>
            <w:pPr>
              <w:spacing w:after="0"/>
            </w:pPr>
            <w:r>
              <w:rPr>
                <w:rFonts w:ascii="游ゴシック" w:hAnsi="游ゴシック" w:eastAsia="游ゴシック"/>
                <w:b w:val="0"/>
                <w:sz w:val="16"/>
              </w:rPr>
              <w:t>社会資源一覧の従業員数の重複計上の扱い</w:t>
            </w:r>
          </w:p>
        </w:tc>
        <w:tc>
          <w:tcPr>
            <w:tcW w:type="dxa" w:w="4649"/>
            <w:shd w:val="clear" w:color="auto" w:fill="F2F5FA"/>
            <w:vAlign w:val="center"/>
          </w:tcPr>
          <w:p>
            <w:pPr>
              <w:spacing w:after="0"/>
            </w:pPr>
            <w:r>
              <w:rPr>
                <w:rFonts w:ascii="游ゴシック" w:hAnsi="游ゴシック" w:eastAsia="游ゴシック"/>
                <w:b w:val="0"/>
                <w:sz w:val="16"/>
              </w:rPr>
              <w:t>社会資源一覧の従業員数は延べの値となるため、供給の担い手の分析には施設単位の実人数を用いる旨を注に明示した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第2章第3節5</w:t>
            </w:r>
          </w:p>
        </w:tc>
      </w:tr>
      <w:tr>
        <w:trPr>
          <w:cantSplit/>
        </w:trPr>
        <w:tc>
          <w:tcPr>
            <w:tcW w:type="dxa" w:w="794"/>
            <w:vAlign w:val="center"/>
          </w:tcPr>
          <w:p>
            <w:pPr>
              <w:spacing w:after="0"/>
              <w:jc w:val="center"/>
            </w:pPr>
            <w:r>
              <w:rPr>
                <w:rFonts w:ascii="游ゴシック" w:hAnsi="游ゴシック" w:eastAsia="游ゴシック"/>
                <w:b w:val="0"/>
                <w:sz w:val="16"/>
              </w:rPr>
              <w:t>No.43</w:t>
            </w:r>
          </w:p>
        </w:tc>
        <w:tc>
          <w:tcPr>
            <w:tcW w:type="dxa" w:w="2608"/>
            <w:vAlign w:val="center"/>
          </w:tcPr>
          <w:p>
            <w:pPr>
              <w:spacing w:after="0"/>
            </w:pPr>
            <w:r>
              <w:rPr>
                <w:rFonts w:ascii="游ゴシック" w:hAnsi="游ゴシック" w:eastAsia="游ゴシック"/>
                <w:b w:val="0"/>
                <w:sz w:val="16"/>
              </w:rPr>
              <w:t>認定に要する日数の扱い</w:t>
            </w:r>
          </w:p>
        </w:tc>
        <w:tc>
          <w:tcPr>
            <w:tcW w:type="dxa" w:w="4649"/>
            <w:vAlign w:val="center"/>
          </w:tcPr>
          <w:p>
            <w:pPr>
              <w:spacing w:after="0"/>
            </w:pPr>
            <w:r>
              <w:rPr>
                <w:rFonts w:ascii="游ゴシック" w:hAnsi="游ゴシック" w:eastAsia="游ゴシック"/>
                <w:b w:val="0"/>
                <w:sz w:val="16"/>
              </w:rPr>
              <w:t>申請から二次判定までの平均所要日数が法定の30日を上回っていることを掲げ、期間の短縮を要介護認定の適正化の取組に加えた</w:t>
            </w:r>
          </w:p>
        </w:tc>
        <w:tc>
          <w:tcPr>
            <w:tcW w:type="dxa" w:w="1701"/>
            <w:vAlign w:val="center"/>
          </w:tcPr>
          <w:p>
            <w:pPr>
              <w:spacing w:after="0"/>
            </w:pPr>
            <w:r>
              <w:rPr>
                <w:rFonts w:ascii="游ゴシック" w:hAnsi="游ゴシック" w:eastAsia="游ゴシック"/>
                <w:b w:val="0"/>
                <w:sz w:val="16"/>
              </w:rPr>
              <w:t>第2章第1節3・第5章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No.45</w:t>
            </w:r>
          </w:p>
        </w:tc>
        <w:tc>
          <w:tcPr>
            <w:tcW w:type="dxa" w:w="2608"/>
            <w:shd w:val="clear" w:color="auto" w:fill="F2F5FA"/>
            <w:vAlign w:val="center"/>
          </w:tcPr>
          <w:p>
            <w:pPr>
              <w:spacing w:after="0"/>
            </w:pPr>
            <w:r>
              <w:rPr>
                <w:rFonts w:ascii="游ゴシック" w:hAnsi="游ゴシック" w:eastAsia="游ゴシック"/>
                <w:b w:val="0"/>
                <w:sz w:val="16"/>
              </w:rPr>
              <w:t>代表KPI H15の分母の定義</w:t>
            </w:r>
          </w:p>
        </w:tc>
        <w:tc>
          <w:tcPr>
            <w:tcW w:type="dxa" w:w="4649"/>
            <w:shd w:val="clear" w:color="auto" w:fill="F2F5FA"/>
            <w:vAlign w:val="center"/>
          </w:tcPr>
          <w:p>
            <w:pPr>
              <w:spacing w:after="0"/>
            </w:pPr>
            <w:r>
              <w:rPr>
                <w:rFonts w:ascii="游ゴシック" w:hAnsi="游ゴシック" w:eastAsia="游ゴシック"/>
                <w:b w:val="0"/>
                <w:sz w:val="16"/>
              </w:rPr>
              <w:t>代表KPI H15の分母を計画の標準給付費見込額とし、実績側は介護保険特別会計決算の保険給付費によることとした</w:t>
            </w:r>
          </w:p>
        </w:tc>
        <w:tc>
          <w:tcPr>
            <w:tcW w:type="dxa" w:w="1701"/>
            <w:shd w:val="clear" w:color="auto" w:fill="F2F5FA"/>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vAlign w:val="center"/>
          </w:tcPr>
          <w:p>
            <w:pPr>
              <w:spacing w:after="0"/>
              <w:jc w:val="center"/>
            </w:pPr>
            <w:r>
              <w:rPr>
                <w:rFonts w:ascii="游ゴシック" w:hAnsi="游ゴシック" w:eastAsia="游ゴシック"/>
                <w:b w:val="0"/>
                <w:sz w:val="16"/>
              </w:rPr>
              <w:t>No.57</w:t>
            </w:r>
          </w:p>
        </w:tc>
        <w:tc>
          <w:tcPr>
            <w:tcW w:type="dxa" w:w="2608"/>
            <w:vAlign w:val="center"/>
          </w:tcPr>
          <w:p>
            <w:pPr>
              <w:spacing w:after="0"/>
            </w:pPr>
            <w:r>
              <w:rPr>
                <w:rFonts w:ascii="游ゴシック" w:hAnsi="游ゴシック" w:eastAsia="游ゴシック"/>
                <w:b w:val="0"/>
                <w:sz w:val="16"/>
              </w:rPr>
              <w:t>計画値を0としたサービスに実績がある2件</w:t>
            </w:r>
          </w:p>
        </w:tc>
        <w:tc>
          <w:tcPr>
            <w:tcW w:type="dxa" w:w="4649"/>
            <w:vAlign w:val="center"/>
          </w:tcPr>
          <w:p>
            <w:pPr>
              <w:spacing w:after="0"/>
            </w:pPr>
            <w:r>
              <w:rPr>
                <w:rFonts w:ascii="游ゴシック" w:hAnsi="游ゴシック" w:eastAsia="游ゴシック"/>
                <w:b w:val="0"/>
                <w:sz w:val="16"/>
              </w:rPr>
              <w:t>第9期に計画値を0としていた認知症対応型通所介護は算定値を置き、介護療養型医療施設は計上しないこととした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No.58</w:t>
            </w:r>
          </w:p>
        </w:tc>
        <w:tc>
          <w:tcPr>
            <w:tcW w:type="dxa" w:w="2608"/>
            <w:shd w:val="clear" w:color="auto" w:fill="F2F5FA"/>
            <w:vAlign w:val="center"/>
          </w:tcPr>
          <w:p>
            <w:pPr>
              <w:spacing w:after="0"/>
            </w:pPr>
            <w:r>
              <w:rPr>
                <w:rFonts w:ascii="游ゴシック" w:hAnsi="游ゴシック" w:eastAsia="游ゴシック"/>
                <w:b w:val="0"/>
                <w:sz w:val="16"/>
              </w:rPr>
              <w:t>定期巡回・随時対応型訪問介護看護の第10期の取扱い</w:t>
            </w:r>
          </w:p>
        </w:tc>
        <w:tc>
          <w:tcPr>
            <w:tcW w:type="dxa" w:w="4649"/>
            <w:shd w:val="clear" w:color="auto" w:fill="F2F5FA"/>
            <w:vAlign w:val="center"/>
          </w:tcPr>
          <w:p>
            <w:pPr>
              <w:spacing w:after="0"/>
            </w:pPr>
            <w:r>
              <w:rPr>
                <w:rFonts w:ascii="游ゴシック" w:hAnsi="游ゴシック" w:eastAsia="游ゴシック"/>
                <w:b w:val="0"/>
                <w:sz w:val="16"/>
              </w:rPr>
              <w:t>定期巡回・随時対応型訪問介護看護及び看護小規模多機能型居宅介護は自然体の算定値を置き、整備又は事業の実施による上乗せは含めないこととした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第6章第2節・第4節1</w:t>
            </w:r>
          </w:p>
        </w:tc>
      </w:tr>
      <w:tr>
        <w:trPr>
          <w:cantSplit/>
        </w:trPr>
        <w:tc>
          <w:tcPr>
            <w:tcW w:type="dxa" w:w="794"/>
            <w:vAlign w:val="center"/>
          </w:tcPr>
          <w:p>
            <w:pPr>
              <w:spacing w:after="0"/>
              <w:jc w:val="center"/>
            </w:pPr>
            <w:r>
              <w:rPr>
                <w:rFonts w:ascii="游ゴシック" w:hAnsi="游ゴシック" w:eastAsia="游ゴシック"/>
                <w:b w:val="0"/>
                <w:sz w:val="16"/>
              </w:rPr>
              <w:t>No.63</w:t>
            </w:r>
          </w:p>
        </w:tc>
        <w:tc>
          <w:tcPr>
            <w:tcW w:type="dxa" w:w="2608"/>
            <w:vAlign w:val="center"/>
          </w:tcPr>
          <w:p>
            <w:pPr>
              <w:spacing w:after="0"/>
            </w:pPr>
            <w:r>
              <w:rPr>
                <w:rFonts w:ascii="游ゴシック" w:hAnsi="游ゴシック" w:eastAsia="游ゴシック"/>
                <w:b w:val="0"/>
                <w:sz w:val="16"/>
              </w:rPr>
              <w:t>人口推計の基礎を総合戦略とするご指示への対応</w:t>
            </w:r>
          </w:p>
        </w:tc>
        <w:tc>
          <w:tcPr>
            <w:tcW w:type="dxa" w:w="4649"/>
            <w:vAlign w:val="center"/>
          </w:tcPr>
          <w:p>
            <w:pPr>
              <w:spacing w:after="0"/>
            </w:pPr>
            <w:r>
              <w:rPr>
                <w:rFonts w:ascii="游ゴシック" w:hAnsi="游ゴシック" w:eastAsia="游ゴシック"/>
                <w:b w:val="0"/>
                <w:sz w:val="16"/>
              </w:rPr>
              <w:t>人口の基礎は案C（地方創生総合戦略と住民基本台帳の実績趨勢）のままとし、3町の人口目標を一律に用いられない理由を注に明示した</w:t>
            </w:r>
          </w:p>
        </w:tc>
        <w:tc>
          <w:tcPr>
            <w:tcW w:type="dxa" w:w="1701"/>
            <w:vAlign w:val="center"/>
          </w:tcPr>
          <w:p>
            <w:pPr>
              <w:spacing w:after="0"/>
            </w:pPr>
            <w:r>
              <w:rPr>
                <w:rFonts w:ascii="游ゴシック" w:hAnsi="游ゴシック" w:eastAsia="游ゴシック"/>
                <w:b w:val="0"/>
                <w:sz w:val="16"/>
              </w:rPr>
              <w:t>第2章第1節・第6章第1節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No.65</w:t>
            </w:r>
          </w:p>
        </w:tc>
        <w:tc>
          <w:tcPr>
            <w:tcW w:type="dxa" w:w="2608"/>
            <w:shd w:val="clear" w:color="auto" w:fill="F2F5FA"/>
            <w:vAlign w:val="center"/>
          </w:tcPr>
          <w:p>
            <w:pPr>
              <w:spacing w:after="0"/>
            </w:pPr>
            <w:r>
              <w:rPr>
                <w:rFonts w:ascii="游ゴシック" w:hAnsi="游ゴシック" w:eastAsia="游ゴシック"/>
                <w:b w:val="0"/>
                <w:sz w:val="16"/>
              </w:rPr>
              <w:t>広域連合において行うべき事業の優先順位</w:t>
            </w:r>
          </w:p>
        </w:tc>
        <w:tc>
          <w:tcPr>
            <w:tcW w:type="dxa" w:w="4649"/>
            <w:shd w:val="clear" w:color="auto" w:fill="F2F5FA"/>
            <w:vAlign w:val="center"/>
          </w:tcPr>
          <w:p>
            <w:pPr>
              <w:spacing w:after="0"/>
            </w:pPr>
            <w:r>
              <w:rPr>
                <w:rFonts w:ascii="游ゴシック" w:hAnsi="游ゴシック" w:eastAsia="游ゴシック"/>
                <w:b w:val="0"/>
                <w:sz w:val="16"/>
              </w:rPr>
              <w:t>広域連合において行うべき事業の優先順位は当方の案のままとし、計画には優先順位そのものを掲げていない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No.66</w:t>
            </w:r>
          </w:p>
        </w:tc>
        <w:tc>
          <w:tcPr>
            <w:tcW w:type="dxa" w:w="2608"/>
            <w:vAlign w:val="center"/>
          </w:tcPr>
          <w:p>
            <w:pPr>
              <w:spacing w:after="0"/>
            </w:pPr>
            <w:r>
              <w:rPr>
                <w:rFonts w:ascii="游ゴシック" w:hAnsi="游ゴシック" w:eastAsia="游ゴシック"/>
                <w:b w:val="0"/>
                <w:sz w:val="16"/>
              </w:rPr>
              <w:t>サービスガイドに掲載する事業所の範囲</w:t>
            </w:r>
          </w:p>
        </w:tc>
        <w:tc>
          <w:tcPr>
            <w:tcW w:type="dxa" w:w="4649"/>
            <w:vAlign w:val="center"/>
          </w:tcPr>
          <w:p>
            <w:pPr>
              <w:spacing w:after="0"/>
            </w:pPr>
            <w:r>
              <w:rPr>
                <w:rFonts w:ascii="游ゴシック" w:hAnsi="游ゴシック" w:eastAsia="游ゴシック"/>
                <w:b w:val="0"/>
                <w:sz w:val="16"/>
              </w:rPr>
              <w:t>掲載する事業所の範囲は北海道の指定事業所一覧（最新のもの）によることとし、出所により事業所数が異なることは時点と把握の範囲の違いによる旨を注に明示した</w:t>
            </w:r>
          </w:p>
        </w:tc>
        <w:tc>
          <w:tcPr>
            <w:tcW w:type="dxa" w:w="1701"/>
            <w:vAlign w:val="center"/>
          </w:tcPr>
          <w:p>
            <w:pPr>
              <w:spacing w:after="0"/>
            </w:pPr>
            <w:r>
              <w:rPr>
                <w:rFonts w:ascii="游ゴシック" w:hAnsi="游ゴシック" w:eastAsia="游ゴシック"/>
                <w:b w:val="0"/>
                <w:sz w:val="16"/>
              </w:rPr>
              <w:t>第2章第3節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No.67</w:t>
            </w:r>
          </w:p>
        </w:tc>
        <w:tc>
          <w:tcPr>
            <w:tcW w:type="dxa" w:w="2608"/>
            <w:shd w:val="clear" w:color="auto" w:fill="F2F5FA"/>
            <w:vAlign w:val="center"/>
          </w:tcPr>
          <w:p>
            <w:pPr>
              <w:spacing w:after="0"/>
            </w:pPr>
            <w:r>
              <w:rPr>
                <w:rFonts w:ascii="游ゴシック" w:hAnsi="游ゴシック" w:eastAsia="游ゴシック"/>
                <w:b w:val="0"/>
                <w:sz w:val="16"/>
              </w:rPr>
              <w:t>算定方法の国の様式との整合（点検結果）</w:t>
            </w:r>
          </w:p>
        </w:tc>
        <w:tc>
          <w:tcPr>
            <w:tcW w:type="dxa" w:w="4649"/>
            <w:shd w:val="clear" w:color="auto" w:fill="F2F5FA"/>
            <w:vAlign w:val="center"/>
          </w:tcPr>
          <w:p>
            <w:pPr>
              <w:spacing w:after="0"/>
            </w:pPr>
            <w:r>
              <w:rPr>
                <w:rFonts w:ascii="游ゴシック" w:hAnsi="游ゴシック" w:eastAsia="游ゴシック"/>
                <w:b w:val="0"/>
                <w:sz w:val="16"/>
              </w:rPr>
              <w:t>当方の算定のまま進め、国の様式との対応は別に対照表として掲げることとし、その所在を第6章第6節の注に示した</w:t>
            </w:r>
          </w:p>
        </w:tc>
        <w:tc>
          <w:tcPr>
            <w:tcW w:type="dxa" w:w="1701"/>
            <w:shd w:val="clear" w:color="auto" w:fill="F2F5FA"/>
            <w:vAlign w:val="center"/>
          </w:tcPr>
          <w:p>
            <w:pPr>
              <w:spacing w:after="0"/>
            </w:pPr>
            <w:r>
              <w:rPr>
                <w:rFonts w:ascii="游ゴシック" w:hAnsi="游ゴシック" w:eastAsia="游ゴシック"/>
                <w:b w:val="0"/>
                <w:sz w:val="16"/>
              </w:rPr>
              <w:t>第6章第3節・第6節</w:t>
            </w:r>
          </w:p>
        </w:tc>
      </w:tr>
      <w:tr>
        <w:trPr>
          <w:cantSplit/>
        </w:trPr>
        <w:tc>
          <w:tcPr>
            <w:tcW w:type="dxa" w:w="794"/>
            <w:vAlign w:val="center"/>
          </w:tcPr>
          <w:p>
            <w:pPr>
              <w:spacing w:after="0"/>
              <w:jc w:val="center"/>
            </w:pPr>
            <w:r>
              <w:rPr>
                <w:rFonts w:ascii="游ゴシック" w:hAnsi="游ゴシック" w:eastAsia="游ゴシック"/>
                <w:b w:val="0"/>
                <w:sz w:val="16"/>
              </w:rPr>
              <w:t>No.68</w:t>
            </w:r>
          </w:p>
        </w:tc>
        <w:tc>
          <w:tcPr>
            <w:tcW w:type="dxa" w:w="2608"/>
            <w:vAlign w:val="center"/>
          </w:tcPr>
          <w:p>
            <w:pPr>
              <w:spacing w:after="0"/>
            </w:pPr>
            <w:r>
              <w:rPr>
                <w:rFonts w:ascii="游ゴシック" w:hAnsi="游ゴシック" w:eastAsia="游ゴシック"/>
                <w:b w:val="0"/>
                <w:sz w:val="16"/>
              </w:rPr>
              <w:t>見える化システムの自然体推計の再出力のお願い</w:t>
            </w:r>
          </w:p>
        </w:tc>
        <w:tc>
          <w:tcPr>
            <w:tcW w:type="dxa" w:w="4649"/>
            <w:vAlign w:val="center"/>
          </w:tcPr>
          <w:p>
            <w:pPr>
              <w:spacing w:after="0"/>
            </w:pPr>
            <w:r>
              <w:rPr>
                <w:rFonts w:ascii="游ゴシック" w:hAnsi="游ゴシック" w:eastAsia="游ゴシック"/>
                <w:b w:val="0"/>
                <w:sz w:val="16"/>
              </w:rPr>
              <w:t>見える化システムの自然体推計の再出力を受けられないものとして、当方の要介護度別の算定を採り、見える化システムの値は社人研の推計人口を基礎とするものである旨を給付費の置き方の対比に明示した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No.70</w:t>
            </w:r>
          </w:p>
        </w:tc>
        <w:tc>
          <w:tcPr>
            <w:tcW w:type="dxa" w:w="2608"/>
            <w:shd w:val="clear" w:color="auto" w:fill="F2F5FA"/>
            <w:vAlign w:val="center"/>
          </w:tcPr>
          <w:p>
            <w:pPr>
              <w:spacing w:after="0"/>
            </w:pPr>
            <w:r>
              <w:rPr>
                <w:rFonts w:ascii="游ゴシック" w:hAnsi="游ゴシック" w:eastAsia="游ゴシック"/>
                <w:b w:val="0"/>
                <w:sz w:val="16"/>
              </w:rPr>
              <w:t>交付金の全国順位の計画本文への掲載</w:t>
            </w:r>
          </w:p>
        </w:tc>
        <w:tc>
          <w:tcPr>
            <w:tcW w:type="dxa" w:w="4649"/>
            <w:shd w:val="clear" w:color="auto" w:fill="F2F5FA"/>
            <w:vAlign w:val="center"/>
          </w:tcPr>
          <w:p>
            <w:pPr>
              <w:spacing w:after="0"/>
            </w:pPr>
            <w:r>
              <w:rPr>
                <w:rFonts w:ascii="游ゴシック" w:hAnsi="游ゴシック" w:eastAsia="游ゴシック"/>
                <w:b w:val="0"/>
                <w:sz w:val="16"/>
              </w:rPr>
              <w:t>保険者機能強化推進交付金等の全国順位は計画本文に掲げず、策定委員会の資料にとどめた（第3章第4節は対全国比までを掲げる）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No.73</w:t>
            </w:r>
          </w:p>
        </w:tc>
        <w:tc>
          <w:tcPr>
            <w:tcW w:type="dxa" w:w="2608"/>
            <w:vAlign w:val="center"/>
          </w:tcPr>
          <w:p>
            <w:pPr>
              <w:spacing w:after="0"/>
            </w:pPr>
            <w:r>
              <w:rPr>
                <w:rFonts w:ascii="游ゴシック" w:hAnsi="游ゴシック" w:eastAsia="游ゴシック"/>
                <w:b w:val="0"/>
                <w:sz w:val="16"/>
              </w:rPr>
              <w:t>ケアプラン点検実施要領（案）の確定に要する事項</w:t>
            </w:r>
          </w:p>
        </w:tc>
        <w:tc>
          <w:tcPr>
            <w:tcW w:type="dxa" w:w="4649"/>
            <w:vAlign w:val="center"/>
          </w:tcPr>
          <w:p>
            <w:pPr>
              <w:spacing w:after="0"/>
            </w:pPr>
            <w:r>
              <w:rPr>
                <w:rFonts w:ascii="游ゴシック" w:hAnsi="游ゴシック" w:eastAsia="游ゴシック"/>
                <w:b w:val="0"/>
                <w:sz w:val="16"/>
              </w:rPr>
              <w:t>ケアプラン点検実施要領は協議資料にとどめ、計画本文には令和9年度当初に実施要領を定めることと点検件数・改善率・再指摘率の目標のみを掲げた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No.75</w:t>
            </w:r>
          </w:p>
        </w:tc>
        <w:tc>
          <w:tcPr>
            <w:tcW w:type="dxa" w:w="2608"/>
            <w:shd w:val="clear" w:color="auto" w:fill="F2F5FA"/>
            <w:vAlign w:val="center"/>
          </w:tcPr>
          <w:p>
            <w:pPr>
              <w:spacing w:after="0"/>
            </w:pPr>
            <w:r>
              <w:rPr>
                <w:rFonts w:ascii="游ゴシック" w:hAnsi="游ゴシック" w:eastAsia="游ゴシック"/>
                <w:b w:val="0"/>
                <w:sz w:val="16"/>
              </w:rPr>
              <w:t>代表KPIと改善事項の再整理案</w:t>
            </w:r>
          </w:p>
        </w:tc>
        <w:tc>
          <w:tcPr>
            <w:tcW w:type="dxa" w:w="4649"/>
            <w:shd w:val="clear" w:color="auto" w:fill="F2F5FA"/>
            <w:vAlign w:val="center"/>
          </w:tcPr>
          <w:p>
            <w:pPr>
              <w:spacing w:after="0"/>
            </w:pPr>
            <w:r>
              <w:rPr>
                <w:rFonts w:ascii="游ゴシック" w:hAnsi="游ゴシック" w:eastAsia="游ゴシック"/>
                <w:b w:val="0"/>
                <w:sz w:val="16"/>
              </w:rPr>
              <w:t>代表KPIと改善事項は当方の再整理案のままとし、計画本文の成果指標は現行の12項目のまま置いた（再整理案のご了承を受けた時点で置き換える）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No.76</w:t>
            </w:r>
          </w:p>
        </w:tc>
        <w:tc>
          <w:tcPr>
            <w:tcW w:type="dxa" w:w="2608"/>
            <w:vAlign w:val="center"/>
          </w:tcPr>
          <w:p>
            <w:pPr>
              <w:spacing w:after="0"/>
            </w:pPr>
            <w:r>
              <w:rPr>
                <w:rFonts w:ascii="游ゴシック" w:hAnsi="游ゴシック" w:eastAsia="游ゴシック"/>
                <w:b w:val="0"/>
                <w:sz w:val="16"/>
              </w:rPr>
              <w:t>介護リームスから抽出できる項目</w:t>
            </w:r>
          </w:p>
        </w:tc>
        <w:tc>
          <w:tcPr>
            <w:tcW w:type="dxa" w:w="4649"/>
            <w:vAlign w:val="center"/>
          </w:tcPr>
          <w:p>
            <w:pPr>
              <w:spacing w:after="0"/>
            </w:pPr>
            <w:r>
              <w:rPr>
                <w:rFonts w:ascii="游ゴシック" w:hAnsi="游ゴシック" w:eastAsia="游ゴシック"/>
                <w:b w:val="0"/>
                <w:sz w:val="16"/>
              </w:rPr>
              <w:t>代表KPI H03は、年齢階級別及び過年度分の抽出が確認できないため未算定のままとし、データ源と未算定である理由を注に明示した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No.77</w:t>
            </w:r>
          </w:p>
        </w:tc>
        <w:tc>
          <w:tcPr>
            <w:tcW w:type="dxa" w:w="2608"/>
            <w:shd w:val="clear" w:color="auto" w:fill="F2F5FA"/>
            <w:vAlign w:val="center"/>
          </w:tcPr>
          <w:p>
            <w:pPr>
              <w:spacing w:after="0"/>
            </w:pPr>
            <w:r>
              <w:rPr>
                <w:rFonts w:ascii="游ゴシック" w:hAnsi="游ゴシック" w:eastAsia="游ゴシック"/>
                <w:b w:val="0"/>
                <w:sz w:val="16"/>
              </w:rPr>
              <w:t>北海道の評価指標⑥の団体別の公表値</w:t>
            </w:r>
          </w:p>
        </w:tc>
        <w:tc>
          <w:tcPr>
            <w:tcW w:type="dxa" w:w="4649"/>
            <w:shd w:val="clear" w:color="auto" w:fill="F2F5FA"/>
            <w:vAlign w:val="center"/>
          </w:tcPr>
          <w:p>
            <w:pPr>
              <w:spacing w:after="0"/>
            </w:pPr>
            <w:r>
              <w:rPr>
                <w:rFonts w:ascii="游ゴシック" w:hAnsi="游ゴシック" w:eastAsia="游ゴシック"/>
                <w:b w:val="0"/>
                <w:sz w:val="16"/>
              </w:rPr>
              <w:t>代表KPI H14は、北海道の評価指標⑥の団体別の値を引用できないものとして補完指標にとどめ、目標値を置かないこととした</w:t>
            </w:r>
          </w:p>
        </w:tc>
        <w:tc>
          <w:tcPr>
            <w:tcW w:type="dxa" w:w="1701"/>
            <w:shd w:val="clear" w:color="auto" w:fill="F2F5FA"/>
            <w:vAlign w:val="center"/>
          </w:tcPr>
          <w:p>
            <w:pPr>
              <w:spacing w:after="0"/>
            </w:pPr>
            <w:r>
              <w:rPr>
                <w:rFonts w:ascii="游ゴシック" w:hAnsi="游ゴシック" w:eastAsia="游ゴシック"/>
                <w:b w:val="0"/>
                <w:sz w:val="16"/>
              </w:rPr>
              <w:t>第4章第3節・資料1</w:t>
            </w:r>
          </w:p>
        </w:tc>
      </w:tr>
      <w:tr>
        <w:trPr>
          <w:cantSplit/>
        </w:trPr>
        <w:tc>
          <w:tcPr>
            <w:tcW w:type="dxa" w:w="794"/>
            <w:vAlign w:val="center"/>
          </w:tcPr>
          <w:p>
            <w:pPr>
              <w:spacing w:after="0"/>
              <w:jc w:val="center"/>
            </w:pPr>
            <w:r>
              <w:rPr>
                <w:rFonts w:ascii="游ゴシック" w:hAnsi="游ゴシック" w:eastAsia="游ゴシック"/>
                <w:b w:val="0"/>
                <w:sz w:val="16"/>
              </w:rPr>
              <w:t>No.78</w:t>
            </w:r>
          </w:p>
        </w:tc>
        <w:tc>
          <w:tcPr>
            <w:tcW w:type="dxa" w:w="2608"/>
            <w:vAlign w:val="center"/>
          </w:tcPr>
          <w:p>
            <w:pPr>
              <w:spacing w:after="0"/>
            </w:pPr>
            <w:r>
              <w:rPr>
                <w:rFonts w:ascii="游ゴシック" w:hAnsi="游ゴシック" w:eastAsia="游ゴシック"/>
                <w:b w:val="0"/>
                <w:sz w:val="16"/>
              </w:rPr>
              <w:t>グループホームびえいの郷の定員減の時期</w:t>
            </w:r>
          </w:p>
        </w:tc>
        <w:tc>
          <w:tcPr>
            <w:tcW w:type="dxa" w:w="4649"/>
            <w:vAlign w:val="center"/>
          </w:tcPr>
          <w:p>
            <w:pPr>
              <w:spacing w:after="0"/>
            </w:pPr>
            <w:r>
              <w:rPr>
                <w:rFonts w:ascii="游ゴシック" w:hAnsi="游ゴシック" w:eastAsia="游ゴシック"/>
                <w:b w:val="0"/>
                <w:sz w:val="16"/>
              </w:rPr>
              <w:t>認知症対応型共同生活介護の定員は北海道の名簿によるものとし、既存の事業所における定員の変更の有無は［要確認］として残した</w:t>
            </w:r>
          </w:p>
        </w:tc>
        <w:tc>
          <w:tcPr>
            <w:tcW w:type="dxa" w:w="1701"/>
            <w:vAlign w:val="center"/>
          </w:tcPr>
          <w:p>
            <w:pPr>
              <w:spacing w:after="0"/>
            </w:pPr>
            <w:r>
              <w:rPr>
                <w:rFonts w:ascii="游ゴシック" w:hAnsi="游ゴシック" w:eastAsia="游ゴシック"/>
                <w:b w:val="0"/>
                <w:sz w:val="16"/>
              </w:rPr>
              <w:t>第2章第3節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No.79</w:t>
            </w:r>
          </w:p>
        </w:tc>
        <w:tc>
          <w:tcPr>
            <w:tcW w:type="dxa" w:w="2608"/>
            <w:shd w:val="clear" w:color="auto" w:fill="F2F5FA"/>
            <w:vAlign w:val="center"/>
          </w:tcPr>
          <w:p>
            <w:pPr>
              <w:spacing w:after="0"/>
            </w:pPr>
            <w:r>
              <w:rPr>
                <w:rFonts w:ascii="游ゴシック" w:hAnsi="游ゴシック" w:eastAsia="游ゴシック"/>
                <w:b w:val="0"/>
                <w:sz w:val="16"/>
              </w:rPr>
              <w:t>第5章の施策数の見直しの範囲</w:t>
            </w:r>
          </w:p>
        </w:tc>
        <w:tc>
          <w:tcPr>
            <w:tcW w:type="dxa" w:w="4649"/>
            <w:shd w:val="clear" w:color="auto" w:fill="F2F5FA"/>
            <w:vAlign w:val="center"/>
          </w:tcPr>
          <w:p>
            <w:pPr>
              <w:spacing w:after="0"/>
            </w:pPr>
            <w:r>
              <w:rPr>
                <w:rFonts w:ascii="游ゴシック" w:hAnsi="游ゴシック" w:eastAsia="游ゴシック"/>
                <w:b w:val="0"/>
                <w:sz w:val="16"/>
              </w:rPr>
              <w:t>第9期の19施策の体系を維持し、施策数の見直しは行わなかった</w:t>
            </w:r>
          </w:p>
        </w:tc>
        <w:tc>
          <w:tcPr>
            <w:tcW w:type="dxa" w:w="1701"/>
            <w:shd w:val="clear" w:color="auto" w:fill="F2F5FA"/>
            <w:vAlign w:val="center"/>
          </w:tcPr>
          <w:p>
            <w:pPr>
              <w:spacing w:after="0"/>
            </w:pPr>
            <w:r>
              <w:rPr>
                <w:rFonts w:ascii="游ゴシック" w:hAnsi="游ゴシック" w:eastAsia="游ゴシック"/>
                <w:b w:val="0"/>
                <w:sz w:val="16"/>
              </w:rPr>
              <w:t>第5章</w:t>
            </w:r>
          </w:p>
        </w:tc>
      </w:tr>
      <w:tr>
        <w:trPr>
          <w:cantSplit/>
        </w:trPr>
        <w:tc>
          <w:tcPr>
            <w:tcW w:type="dxa" w:w="794"/>
            <w:vAlign w:val="center"/>
          </w:tcPr>
          <w:p>
            <w:pPr>
              <w:spacing w:after="0"/>
              <w:jc w:val="center"/>
            </w:pPr>
            <w:r>
              <w:rPr>
                <w:rFonts w:ascii="游ゴシック" w:hAnsi="游ゴシック" w:eastAsia="游ゴシック"/>
                <w:b w:val="0"/>
                <w:sz w:val="16"/>
              </w:rPr>
              <w:t>No.81</w:t>
            </w:r>
          </w:p>
        </w:tc>
        <w:tc>
          <w:tcPr>
            <w:tcW w:type="dxa" w:w="2608"/>
            <w:vAlign w:val="center"/>
          </w:tcPr>
          <w:p>
            <w:pPr>
              <w:spacing w:after="0"/>
            </w:pPr>
            <w:r>
              <w:rPr>
                <w:rFonts w:ascii="游ゴシック" w:hAnsi="游ゴシック" w:eastAsia="游ゴシック"/>
                <w:b w:val="0"/>
                <w:sz w:val="16"/>
              </w:rPr>
              <w:t>代表KPI H16のデータ源（国保連の給付実績の明細情報）</w:t>
            </w:r>
          </w:p>
        </w:tc>
        <w:tc>
          <w:tcPr>
            <w:tcW w:type="dxa" w:w="4649"/>
            <w:vAlign w:val="center"/>
          </w:tcPr>
          <w:p>
            <w:pPr>
              <w:spacing w:after="0"/>
            </w:pPr>
            <w:r>
              <w:rPr>
                <w:rFonts w:ascii="游ゴシック" w:hAnsi="游ゴシック" w:eastAsia="游ゴシック"/>
                <w:b w:val="0"/>
                <w:sz w:val="16"/>
              </w:rPr>
              <w:t>代表KPI H16は、給付実績の明細（加算・減算の単位）が得られないため、指定・指定の更新・運営指導の際に業務継続計画の策定を確認した地域密着型サービス事業所（17事業所）の割合に改めた</w:t>
            </w:r>
          </w:p>
        </w:tc>
        <w:tc>
          <w:tcPr>
            <w:tcW w:type="dxa" w:w="1701"/>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No.95</w:t>
            </w:r>
          </w:p>
        </w:tc>
        <w:tc>
          <w:tcPr>
            <w:tcW w:type="dxa" w:w="2608"/>
            <w:shd w:val="clear" w:color="auto" w:fill="F2F5FA"/>
            <w:vAlign w:val="center"/>
          </w:tcPr>
          <w:p>
            <w:pPr>
              <w:spacing w:after="0"/>
            </w:pPr>
            <w:r>
              <w:rPr>
                <w:rFonts w:ascii="游ゴシック" w:hAnsi="游ゴシック" w:eastAsia="游ゴシック"/>
                <w:b w:val="0"/>
                <w:sz w:val="16"/>
              </w:rPr>
              <w:t>大雪地区広域連合の指定地域密着型サービスの基準条例のご提供</w:t>
            </w:r>
          </w:p>
        </w:tc>
        <w:tc>
          <w:tcPr>
            <w:tcW w:type="dxa" w:w="4649"/>
            <w:shd w:val="clear" w:color="auto" w:fill="F2F5FA"/>
            <w:vAlign w:val="center"/>
          </w:tcPr>
          <w:p>
            <w:pPr>
              <w:spacing w:after="0"/>
            </w:pPr>
            <w:r>
              <w:rPr>
                <w:rFonts w:ascii="游ゴシック" w:hAnsi="游ゴシック" w:eastAsia="游ゴシック"/>
                <w:b w:val="0"/>
                <w:sz w:val="16"/>
              </w:rPr>
              <w:t>基準条例の内容は計画に掲げず、協力医療機関に関する規定を令和9年4月1日までに条例において整える必要があることを［要確認］として明示した</w:t>
            </w:r>
          </w:p>
        </w:tc>
        <w:tc>
          <w:tcPr>
            <w:tcW w:type="dxa" w:w="1701"/>
            <w:shd w:val="clear" w:color="auto" w:fill="F2F5FA"/>
            <w:vAlign w:val="center"/>
          </w:tcPr>
          <w:p>
            <w:pPr>
              <w:spacing w:after="0"/>
            </w:pPr>
            <w:r>
              <w:rPr>
                <w:rFonts w:ascii="游ゴシック" w:hAnsi="游ゴシック" w:eastAsia="游ゴシック"/>
                <w:b w:val="0"/>
                <w:sz w:val="16"/>
              </w:rPr>
              <w:t>第6章第4節</w:t>
            </w:r>
          </w:p>
        </w:tc>
      </w:tr>
      <w:tr>
        <w:trPr>
          <w:cantSplit/>
        </w:trPr>
        <w:tc>
          <w:tcPr>
            <w:tcW w:type="dxa" w:w="794"/>
            <w:vAlign w:val="center"/>
          </w:tcPr>
          <w:p>
            <w:pPr>
              <w:spacing w:after="0"/>
              <w:jc w:val="center"/>
            </w:pPr>
            <w:r>
              <w:rPr>
                <w:rFonts w:ascii="游ゴシック" w:hAnsi="游ゴシック" w:eastAsia="游ゴシック"/>
                <w:b w:val="0"/>
                <w:sz w:val="16"/>
              </w:rPr>
              <w:t>No.96</w:t>
            </w:r>
          </w:p>
        </w:tc>
        <w:tc>
          <w:tcPr>
            <w:tcW w:type="dxa" w:w="2608"/>
            <w:vAlign w:val="center"/>
          </w:tcPr>
          <w:p>
            <w:pPr>
              <w:spacing w:after="0"/>
            </w:pPr>
            <w:r>
              <w:rPr>
                <w:rFonts w:ascii="游ゴシック" w:hAnsi="游ゴシック" w:eastAsia="游ゴシック"/>
                <w:b w:val="0"/>
                <w:sz w:val="16"/>
              </w:rPr>
              <w:t>認知症対応型共同生活介護の共同生活住居数と、くるみの郷の定員</w:t>
            </w:r>
          </w:p>
        </w:tc>
        <w:tc>
          <w:tcPr>
            <w:tcW w:type="dxa" w:w="4649"/>
            <w:vAlign w:val="center"/>
          </w:tcPr>
          <w:p>
            <w:pPr>
              <w:spacing w:after="0"/>
            </w:pPr>
            <w:r>
              <w:rPr>
                <w:rFonts w:ascii="游ゴシック" w:hAnsi="游ゴシック" w:eastAsia="游ゴシック"/>
                <w:b w:val="0"/>
                <w:sz w:val="16"/>
              </w:rPr>
              <w:t>認知症対応型共同生活介護の定員は99人＋［要確認］のまま掲げ、必要利用定員総数は3町への照会により定員を確定したうえで定めることを注に明示した</w:t>
            </w:r>
          </w:p>
        </w:tc>
        <w:tc>
          <w:tcPr>
            <w:tcW w:type="dxa" w:w="1701"/>
            <w:vAlign w:val="center"/>
          </w:tcPr>
          <w:p>
            <w:pPr>
              <w:spacing w:after="0"/>
            </w:pPr>
            <w:r>
              <w:rPr>
                <w:rFonts w:ascii="游ゴシック" w:hAnsi="游ゴシック" w:eastAsia="游ゴシック"/>
                <w:b w:val="0"/>
                <w:sz w:val="16"/>
              </w:rPr>
              <w:t>第2章第3節6・第6章第4節4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No.102</w:t>
            </w:r>
          </w:p>
        </w:tc>
        <w:tc>
          <w:tcPr>
            <w:tcW w:type="dxa" w:w="2608"/>
            <w:shd w:val="clear" w:color="auto" w:fill="F2F5FA"/>
            <w:vAlign w:val="center"/>
          </w:tcPr>
          <w:p>
            <w:pPr>
              <w:spacing w:after="0"/>
            </w:pPr>
            <w:r>
              <w:rPr>
                <w:rFonts w:ascii="游ゴシック" w:hAnsi="游ゴシック" w:eastAsia="游ゴシック"/>
                <w:b w:val="0"/>
                <w:sz w:val="16"/>
              </w:rPr>
              <w:t>計画作成支援ツールの令和8年度の月数と予防訪問看護の計上</w:t>
            </w:r>
          </w:p>
        </w:tc>
        <w:tc>
          <w:tcPr>
            <w:tcW w:type="dxa" w:w="4649"/>
            <w:shd w:val="clear" w:color="auto" w:fill="F2F5FA"/>
            <w:vAlign w:val="center"/>
          </w:tcPr>
          <w:p>
            <w:pPr>
              <w:spacing w:after="0"/>
            </w:pPr>
            <w:r>
              <w:rPr>
                <w:rFonts w:ascii="游ゴシック" w:hAnsi="游ゴシック" w:eastAsia="游ゴシック"/>
                <w:b w:val="0"/>
                <w:sz w:val="16"/>
              </w:rPr>
              <w:t>令和8年度（4か月）を基準年度に用いない旨を注に明示した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No.122</w:t>
            </w:r>
          </w:p>
        </w:tc>
        <w:tc>
          <w:tcPr>
            <w:tcW w:type="dxa" w:w="2608"/>
            <w:vAlign w:val="center"/>
          </w:tcPr>
          <w:p>
            <w:pPr>
              <w:spacing w:after="0"/>
            </w:pPr>
            <w:r>
              <w:rPr>
                <w:rFonts w:ascii="游ゴシック" w:hAnsi="游ゴシック" w:eastAsia="游ゴシック"/>
                <w:b w:val="0"/>
                <w:sz w:val="16"/>
              </w:rPr>
              <w:t>地域ケア会議関係資料の取扱いの確認</w:t>
            </w:r>
          </w:p>
        </w:tc>
        <w:tc>
          <w:tcPr>
            <w:tcW w:type="dxa" w:w="4649"/>
            <w:vAlign w:val="center"/>
          </w:tcPr>
          <w:p>
            <w:pPr>
              <w:spacing w:after="0"/>
            </w:pPr>
            <w:r>
              <w:rPr>
                <w:rFonts w:ascii="游ゴシック" w:hAnsi="游ゴシック" w:eastAsia="游ゴシック"/>
                <w:b w:val="0"/>
                <w:sz w:val="16"/>
              </w:rPr>
              <w:t>転載を禁ずる旨の記載がある受領資料2件は成果品に用いず、原典のみを引いた（計画素案に当該2件からの記述はない）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No.30</w:t>
            </w:r>
          </w:p>
        </w:tc>
        <w:tc>
          <w:tcPr>
            <w:tcW w:type="dxa" w:w="2608"/>
            <w:shd w:val="clear" w:color="auto" w:fill="F2F5FA"/>
            <w:vAlign w:val="center"/>
          </w:tcPr>
          <w:p>
            <w:pPr>
              <w:spacing w:after="0"/>
            </w:pPr>
            <w:r>
              <w:rPr>
                <w:rFonts w:ascii="游ゴシック" w:hAnsi="游ゴシック" w:eastAsia="游ゴシック"/>
                <w:b w:val="0"/>
                <w:sz w:val="16"/>
              </w:rPr>
              <w:t>施設入所者と在宅者を分けた要介護度の変化</w:t>
            </w:r>
          </w:p>
        </w:tc>
        <w:tc>
          <w:tcPr>
            <w:tcW w:type="dxa" w:w="4649"/>
            <w:shd w:val="clear" w:color="auto" w:fill="F2F5FA"/>
            <w:vAlign w:val="center"/>
          </w:tcPr>
          <w:p>
            <w:pPr>
              <w:spacing w:after="0"/>
            </w:pPr>
            <w:r>
              <w:rPr>
                <w:rFonts w:ascii="游ゴシック" w:hAnsi="游ゴシック" w:eastAsia="游ゴシック"/>
                <w:b w:val="0"/>
                <w:sz w:val="16"/>
              </w:rPr>
              <w:t>要介護度の構成は施設に入所している方と在宅の方を分けずに置き、入所の状況による重度化の見え方の違いを分けて算定していない旨を注に明示した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No.34</w:t>
            </w:r>
          </w:p>
        </w:tc>
        <w:tc>
          <w:tcPr>
            <w:tcW w:type="dxa" w:w="2608"/>
            <w:vAlign w:val="center"/>
          </w:tcPr>
          <w:p>
            <w:pPr>
              <w:spacing w:after="0"/>
            </w:pPr>
            <w:r>
              <w:rPr>
                <w:rFonts w:ascii="游ゴシック" w:hAnsi="游ゴシック" w:eastAsia="游ゴシック"/>
                <w:b w:val="0"/>
                <w:sz w:val="16"/>
              </w:rPr>
              <w:t>第9段階の乗率の経緯</w:t>
            </w:r>
          </w:p>
        </w:tc>
        <w:tc>
          <w:tcPr>
            <w:tcW w:type="dxa" w:w="4649"/>
            <w:vAlign w:val="center"/>
          </w:tcPr>
          <w:p>
            <w:pPr>
              <w:spacing w:after="0"/>
            </w:pPr>
            <w:r>
              <w:rPr>
                <w:rFonts w:ascii="游ゴシック" w:hAnsi="游ゴシック" w:eastAsia="游ゴシック"/>
                <w:b w:val="0"/>
                <w:sz w:val="16"/>
              </w:rPr>
              <w:t>第9段階の割合1.630が国の標準1.700を下回ることと、設定の経緯を確認できていないため第9期の条例の割合をそのまま用いていることを注に明示した</w:t>
            </w:r>
          </w:p>
        </w:tc>
        <w:tc>
          <w:tcPr>
            <w:tcW w:type="dxa" w:w="1701"/>
            <w:vAlign w:val="center"/>
          </w:tcPr>
          <w:p>
            <w:pPr>
              <w:spacing w:after="0"/>
            </w:pPr>
            <w:r>
              <w:rPr>
                <w:rFonts w:ascii="游ゴシック" w:hAnsi="游ゴシック" w:eastAsia="游ゴシック"/>
                <w:b w:val="0"/>
                <w:sz w:val="16"/>
              </w:rPr>
              <w:t>第6章第6節5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No.35</w:t>
            </w:r>
          </w:p>
        </w:tc>
        <w:tc>
          <w:tcPr>
            <w:tcW w:type="dxa" w:w="2608"/>
            <w:shd w:val="clear" w:color="auto" w:fill="F2F5FA"/>
            <w:vAlign w:val="center"/>
          </w:tcPr>
          <w:p>
            <w:pPr>
              <w:spacing w:after="0"/>
            </w:pPr>
            <w:r>
              <w:rPr>
                <w:rFonts w:ascii="游ゴシック" w:hAnsi="游ゴシック" w:eastAsia="游ゴシック"/>
                <w:b w:val="0"/>
                <w:sz w:val="16"/>
              </w:rPr>
              <w:t>上川管内の保険者の所得段階数と乗率</w:t>
            </w:r>
          </w:p>
        </w:tc>
        <w:tc>
          <w:tcPr>
            <w:tcW w:type="dxa" w:w="4649"/>
            <w:shd w:val="clear" w:color="auto" w:fill="F2F5FA"/>
            <w:vAlign w:val="center"/>
          </w:tcPr>
          <w:p>
            <w:pPr>
              <w:spacing w:after="0"/>
            </w:pPr>
            <w:r>
              <w:rPr>
                <w:rFonts w:ascii="游ゴシック" w:hAnsi="游ゴシック" w:eastAsia="游ゴシック"/>
                <w:b w:val="0"/>
                <w:sz w:val="16"/>
              </w:rPr>
              <w:t>上川管内の保険者の所得段階数と乗率の比較は計画本文に掲げていない（保険料基準額の管内比較は北海道の公表資料により掲げている）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No.36</w:t>
            </w:r>
          </w:p>
        </w:tc>
        <w:tc>
          <w:tcPr>
            <w:tcW w:type="dxa" w:w="2608"/>
            <w:vAlign w:val="center"/>
          </w:tcPr>
          <w:p>
            <w:pPr>
              <w:spacing w:after="0"/>
            </w:pPr>
            <w:r>
              <w:rPr>
                <w:rFonts w:ascii="游ゴシック" w:hAnsi="游ゴシック" w:eastAsia="游ゴシック"/>
                <w:b w:val="0"/>
                <w:sz w:val="16"/>
              </w:rPr>
              <w:t>所得段階別被保険者数の実績と収納率</w:t>
            </w:r>
          </w:p>
        </w:tc>
        <w:tc>
          <w:tcPr>
            <w:tcW w:type="dxa" w:w="4649"/>
            <w:vAlign w:val="center"/>
          </w:tcPr>
          <w:p>
            <w:pPr>
              <w:spacing w:after="0"/>
            </w:pPr>
            <w:r>
              <w:rPr>
                <w:rFonts w:ascii="游ゴシック" w:hAnsi="游ゴシック" w:eastAsia="游ゴシック"/>
                <w:b w:val="0"/>
                <w:sz w:val="16"/>
              </w:rPr>
              <w:t>所得段階別の第1号被保険者数は令和6年度の実績の構成比を固定し、予定収納率は所得段階別の実績を確認できていないため全段階一律99.0％としている旨を明示した</w:t>
            </w:r>
          </w:p>
        </w:tc>
        <w:tc>
          <w:tcPr>
            <w:tcW w:type="dxa" w:w="1701"/>
            <w:vAlign w:val="center"/>
          </w:tcPr>
          <w:p>
            <w:pPr>
              <w:spacing w:after="0"/>
            </w:pPr>
            <w:r>
              <w:rPr>
                <w:rFonts w:ascii="游ゴシック" w:hAnsi="游ゴシック" w:eastAsia="游ゴシック"/>
                <w:b w:val="0"/>
                <w:sz w:val="16"/>
              </w:rPr>
              <w:t>第6章第6節5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No.115</w:t>
            </w:r>
          </w:p>
        </w:tc>
        <w:tc>
          <w:tcPr>
            <w:tcW w:type="dxa" w:w="2608"/>
            <w:shd w:val="clear" w:color="auto" w:fill="F2F5FA"/>
            <w:vAlign w:val="center"/>
          </w:tcPr>
          <w:p>
            <w:pPr>
              <w:spacing w:after="0"/>
            </w:pPr>
            <w:r>
              <w:rPr>
                <w:rFonts w:ascii="游ゴシック" w:hAnsi="游ゴシック" w:eastAsia="游ゴシック"/>
                <w:b w:val="0"/>
                <w:sz w:val="16"/>
              </w:rPr>
              <w:t>令和9年4月に新設される区分を見込量に立てるか</w:t>
            </w:r>
          </w:p>
        </w:tc>
        <w:tc>
          <w:tcPr>
            <w:tcW w:type="dxa" w:w="4649"/>
            <w:shd w:val="clear" w:color="auto" w:fill="F2F5FA"/>
            <w:vAlign w:val="center"/>
          </w:tcPr>
          <w:p>
            <w:pPr>
              <w:spacing w:after="0"/>
            </w:pPr>
            <w:r>
              <w:rPr>
                <w:rFonts w:ascii="游ゴシック" w:hAnsi="游ゴシック" w:eastAsia="游ゴシック"/>
                <w:b w:val="0"/>
                <w:sz w:val="16"/>
              </w:rPr>
              <w:t>令和9年4月1日に新設される3区分は実績がないため0として立て、国の様式の確定後に区分を改めることを注に明示した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No.124</w:t>
            </w:r>
          </w:p>
        </w:tc>
        <w:tc>
          <w:tcPr>
            <w:tcW w:type="dxa" w:w="2608"/>
            <w:vAlign w:val="center"/>
          </w:tcPr>
          <w:p>
            <w:pPr>
              <w:spacing w:after="0"/>
            </w:pPr>
            <w:r>
              <w:rPr>
                <w:rFonts w:ascii="游ゴシック" w:hAnsi="游ゴシック" w:eastAsia="游ゴシック"/>
                <w:b w:val="0"/>
                <w:sz w:val="16"/>
              </w:rPr>
              <w:t>施設・居住系サービス利用者数の伸びの参考シートの有無</w:t>
            </w:r>
          </w:p>
        </w:tc>
        <w:tc>
          <w:tcPr>
            <w:tcW w:type="dxa" w:w="4649"/>
            <w:vAlign w:val="center"/>
          </w:tcPr>
          <w:p>
            <w:pPr>
              <w:spacing w:after="0"/>
            </w:pPr>
            <w:r>
              <w:rPr>
                <w:rFonts w:ascii="游ゴシック" w:hAnsi="游ゴシック" w:eastAsia="游ゴシック"/>
                <w:b w:val="0"/>
                <w:sz w:val="16"/>
              </w:rPr>
              <w:t>施設及び居住系サービスについても在宅と同じく令和7年度の要介護度別の利用率を固定し、これらに固有の伸びを別に選んでいない旨を注に明示した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No.140</w:t>
            </w:r>
          </w:p>
        </w:tc>
        <w:tc>
          <w:tcPr>
            <w:tcW w:type="dxa" w:w="2608"/>
            <w:shd w:val="clear" w:color="auto" w:fill="F2F5FA"/>
            <w:vAlign w:val="center"/>
          </w:tcPr>
          <w:p>
            <w:pPr>
              <w:spacing w:after="0"/>
            </w:pPr>
            <w:r>
              <w:rPr>
                <w:rFonts w:ascii="游ゴシック" w:hAnsi="游ゴシック" w:eastAsia="游ゴシック"/>
                <w:b w:val="0"/>
                <w:sz w:val="16"/>
              </w:rPr>
              <w:t>在宅生活改善調査の結果を在宅の認定者全体に当てはめないこと</w:t>
            </w:r>
          </w:p>
        </w:tc>
        <w:tc>
          <w:tcPr>
            <w:tcW w:type="dxa" w:w="4649"/>
            <w:shd w:val="clear" w:color="auto" w:fill="F2F5FA"/>
            <w:vAlign w:val="center"/>
          </w:tcPr>
          <w:p>
            <w:pPr>
              <w:spacing w:after="0"/>
            </w:pPr>
            <w:r>
              <w:rPr>
                <w:rFonts w:ascii="游ゴシック" w:hAnsi="游ゴシック" w:eastAsia="游ゴシック"/>
                <w:b w:val="0"/>
                <w:sz w:val="16"/>
              </w:rPr>
              <w:t>在宅生活改善調査の結果は「在宅で困難を抱える方の状況」として引き、在宅の認定者全体の割合として用いることはできない旨を注に明示した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第2章第5節・第4章第3節</w:t>
            </w:r>
          </w:p>
        </w:tc>
      </w:tr>
      <w:tr>
        <w:trPr>
          <w:cantSplit/>
        </w:trPr>
        <w:tc>
          <w:tcPr>
            <w:tcW w:type="dxa" w:w="794"/>
            <w:vAlign w:val="center"/>
          </w:tcPr>
          <w:p>
            <w:pPr>
              <w:spacing w:after="0"/>
              <w:jc w:val="center"/>
            </w:pPr>
            <w:r>
              <w:rPr>
                <w:rFonts w:ascii="游ゴシック" w:hAnsi="游ゴシック" w:eastAsia="游ゴシック"/>
                <w:b w:val="0"/>
                <w:sz w:val="16"/>
              </w:rPr>
              <w:t>No.149</w:t>
            </w:r>
          </w:p>
        </w:tc>
        <w:tc>
          <w:tcPr>
            <w:tcW w:type="dxa" w:w="2608"/>
            <w:vAlign w:val="center"/>
          </w:tcPr>
          <w:p>
            <w:pPr>
              <w:spacing w:after="0"/>
            </w:pPr>
            <w:r>
              <w:rPr>
                <w:rFonts w:ascii="游ゴシック" w:hAnsi="游ゴシック" w:eastAsia="游ゴシック"/>
                <w:b w:val="0"/>
                <w:sz w:val="16"/>
              </w:rPr>
              <w:t>認知症基本法の条文ほか認知症施策の根拠資料のご提供</w:t>
            </w:r>
          </w:p>
        </w:tc>
        <w:tc>
          <w:tcPr>
            <w:tcW w:type="dxa" w:w="4649"/>
            <w:vAlign w:val="center"/>
          </w:tcPr>
          <w:p>
            <w:pPr>
              <w:spacing w:after="0"/>
            </w:pPr>
            <w:r>
              <w:rPr>
                <w:rFonts w:ascii="游ゴシック" w:hAnsi="游ゴシック" w:eastAsia="游ゴシック"/>
                <w:b w:val="0"/>
                <w:sz w:val="16"/>
              </w:rPr>
              <w:t>認知症基本法の条文を受領していないため、計画素案には条番号のみを書き項番号は書いていない</w:t>
            </w:r>
          </w:p>
        </w:tc>
        <w:tc>
          <w:tcPr>
            <w:tcW w:type="dxa" w:w="1701"/>
            <w:vAlign w:val="center"/>
          </w:tcPr>
          <w:p>
            <w:pPr>
              <w:spacing w:after="0"/>
            </w:pPr>
            <w:r>
              <w:rPr>
                <w:rFonts w:ascii="游ゴシック" w:hAnsi="游ゴシック" w:eastAsia="游ゴシック"/>
                <w:b w:val="0"/>
                <w:sz w:val="16"/>
              </w:rPr>
              <w:t>第1章第2節・第8節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w:t>
            </w:r>
          </w:p>
        </w:tc>
        <w:tc>
          <w:tcPr>
            <w:tcW w:type="dxa" w:w="2608"/>
            <w:shd w:val="clear" w:color="auto" w:fill="F2F5FA"/>
            <w:vAlign w:val="center"/>
          </w:tcPr>
          <w:p>
            <w:pPr>
              <w:spacing w:after="0"/>
            </w:pPr>
            <w:r>
              <w:rPr>
                <w:rFonts w:ascii="游ゴシック" w:hAnsi="游ゴシック" w:eastAsia="游ゴシック"/>
                <w:b w:val="0"/>
                <w:sz w:val="16"/>
              </w:rPr>
              <w:t>類似保険者との比較分析の対象</w:t>
            </w:r>
          </w:p>
        </w:tc>
        <w:tc>
          <w:tcPr>
            <w:tcW w:type="dxa" w:w="4649"/>
            <w:shd w:val="clear" w:color="auto" w:fill="F2F5FA"/>
            <w:vAlign w:val="center"/>
          </w:tcPr>
          <w:p>
            <w:pPr>
              <w:spacing w:after="0"/>
            </w:pPr>
            <w:r>
              <w:rPr>
                <w:rFonts w:ascii="游ゴシック" w:hAnsi="游ゴシック" w:eastAsia="游ゴシック"/>
                <w:b w:val="0"/>
                <w:sz w:val="16"/>
              </w:rPr>
              <w:t>類似保険者との比較は全国・北海道・上川管内21保険者及び健康とくらしの調査の同規模保険者40団体によることとし、給付・供給面の選定条件は［要協議］のまま残した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第2章第2節1</w:t>
            </w:r>
          </w:p>
        </w:tc>
      </w:tr>
      <w:tr>
        <w:trPr>
          <w:cantSplit/>
        </w:trPr>
        <w:tc>
          <w:tcPr>
            <w:tcW w:type="dxa" w:w="794"/>
            <w:vAlign w:val="center"/>
          </w:tcPr>
          <w:p>
            <w:pPr>
              <w:spacing w:after="0"/>
              <w:jc w:val="center"/>
            </w:pPr>
            <w:r>
              <w:rPr>
                <w:rFonts w:ascii="游ゴシック" w:hAnsi="游ゴシック" w:eastAsia="游ゴシック"/>
                <w:b w:val="0"/>
                <w:sz w:val="16"/>
              </w:rPr>
              <w:t>No.4</w:t>
            </w:r>
          </w:p>
        </w:tc>
        <w:tc>
          <w:tcPr>
            <w:tcW w:type="dxa" w:w="2608"/>
            <w:vAlign w:val="center"/>
          </w:tcPr>
          <w:p>
            <w:pPr>
              <w:spacing w:after="0"/>
            </w:pPr>
            <w:r>
              <w:rPr>
                <w:rFonts w:ascii="游ゴシック" w:hAnsi="游ゴシック" w:eastAsia="游ゴシック"/>
                <w:b w:val="0"/>
                <w:sz w:val="16"/>
              </w:rPr>
              <w:t>代表KPI H07・H08・H12・H16の代理指標</w:t>
            </w:r>
          </w:p>
        </w:tc>
        <w:tc>
          <w:tcPr>
            <w:tcW w:type="dxa" w:w="4649"/>
            <w:vAlign w:val="center"/>
          </w:tcPr>
          <w:p>
            <w:pPr>
              <w:spacing w:after="0"/>
            </w:pPr>
            <w:r>
              <w:rPr>
                <w:rFonts w:ascii="游ゴシック" w:hAnsi="游ゴシック" w:eastAsia="游ゴシック"/>
                <w:b w:val="0"/>
                <w:sz w:val="16"/>
              </w:rPr>
              <w:t>代表KPI H07・H08・H12・H16は代理指標へ振り替え、振替後の定義・基準値・留意点を掲げた</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w:t>
            </w:r>
          </w:p>
        </w:tc>
        <w:tc>
          <w:tcPr>
            <w:tcW w:type="dxa" w:w="2608"/>
            <w:shd w:val="clear" w:color="auto" w:fill="F2F5FA"/>
            <w:vAlign w:val="center"/>
          </w:tcPr>
          <w:p>
            <w:pPr>
              <w:spacing w:after="0"/>
            </w:pPr>
            <w:r>
              <w:rPr>
                <w:rFonts w:ascii="游ゴシック" w:hAnsi="游ゴシック" w:eastAsia="游ゴシック"/>
                <w:b w:val="0"/>
                <w:sz w:val="16"/>
              </w:rPr>
              <w:t>第9期の施策・事業実績</w:t>
            </w:r>
          </w:p>
        </w:tc>
        <w:tc>
          <w:tcPr>
            <w:tcW w:type="dxa" w:w="4649"/>
            <w:shd w:val="clear" w:color="auto" w:fill="F2F5FA"/>
            <w:vAlign w:val="center"/>
          </w:tcPr>
          <w:p>
            <w:pPr>
              <w:spacing w:after="0"/>
            </w:pPr>
            <w:r>
              <w:rPr>
                <w:rFonts w:ascii="游ゴシック" w:hAnsi="游ゴシック" w:eastAsia="游ゴシック"/>
                <w:b w:val="0"/>
                <w:sz w:val="16"/>
              </w:rPr>
              <w:t>第9期の施策・事業実績の提供を受けられない間は、公表資料（交付金の評価結果・総合事業の実施状況に関する調査・年報）により評価する旨を注に明示した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第3章第2節</w:t>
            </w:r>
          </w:p>
        </w:tc>
      </w:tr>
      <w:tr>
        <w:trPr>
          <w:cantSplit/>
        </w:trPr>
        <w:tc>
          <w:tcPr>
            <w:tcW w:type="dxa" w:w="794"/>
            <w:vAlign w:val="center"/>
          </w:tcPr>
          <w:p>
            <w:pPr>
              <w:spacing w:after="0"/>
              <w:jc w:val="center"/>
            </w:pPr>
            <w:r>
              <w:rPr>
                <w:rFonts w:ascii="游ゴシック" w:hAnsi="游ゴシック" w:eastAsia="游ゴシック"/>
                <w:b w:val="0"/>
                <w:sz w:val="16"/>
              </w:rPr>
              <w:t>No.6</w:t>
            </w:r>
          </w:p>
        </w:tc>
        <w:tc>
          <w:tcPr>
            <w:tcW w:type="dxa" w:w="2608"/>
            <w:vAlign w:val="center"/>
          </w:tcPr>
          <w:p>
            <w:pPr>
              <w:spacing w:after="0"/>
            </w:pPr>
            <w:r>
              <w:rPr>
                <w:rFonts w:ascii="游ゴシック" w:hAnsi="游ゴシック" w:eastAsia="游ゴシック"/>
                <w:b w:val="0"/>
                <w:sz w:val="16"/>
              </w:rPr>
              <w:t>交付金の評価調書</w:t>
            </w:r>
          </w:p>
        </w:tc>
        <w:tc>
          <w:tcPr>
            <w:tcW w:type="dxa" w:w="4649"/>
            <w:vAlign w:val="center"/>
          </w:tcPr>
          <w:p>
            <w:pPr>
              <w:spacing w:after="0"/>
            </w:pPr>
            <w:r>
              <w:rPr>
                <w:rFonts w:ascii="游ゴシック" w:hAnsi="游ゴシック" w:eastAsia="游ゴシック"/>
                <w:b w:val="0"/>
                <w:sz w:val="16"/>
              </w:rPr>
              <w:t>得点が0である項目について、取組がないのか要件を満たさないのか報告していないのかは公表資料から判別できない旨を注に明示した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w:t>
            </w:r>
          </w:p>
        </w:tc>
        <w:tc>
          <w:tcPr>
            <w:tcW w:type="dxa" w:w="2608"/>
            <w:shd w:val="clear" w:color="auto" w:fill="F2F5FA"/>
            <w:vAlign w:val="center"/>
          </w:tcPr>
          <w:p>
            <w:pPr>
              <w:spacing w:after="0"/>
            </w:pPr>
            <w:r>
              <w:rPr>
                <w:rFonts w:ascii="游ゴシック" w:hAnsi="游ゴシック" w:eastAsia="游ゴシック"/>
                <w:b w:val="0"/>
                <w:sz w:val="16"/>
              </w:rPr>
              <w:t>3調査の点検事項の取扱い</w:t>
            </w:r>
          </w:p>
        </w:tc>
        <w:tc>
          <w:tcPr>
            <w:tcW w:type="dxa" w:w="4649"/>
            <w:shd w:val="clear" w:color="auto" w:fill="F2F5FA"/>
            <w:vAlign w:val="center"/>
          </w:tcPr>
          <w:p>
            <w:pPr>
              <w:spacing w:after="0"/>
            </w:pPr>
            <w:r>
              <w:rPr>
                <w:rFonts w:ascii="游ゴシック" w:hAnsi="游ゴシック" w:eastAsia="游ゴシック"/>
                <w:b w:val="0"/>
                <w:sz w:val="16"/>
              </w:rPr>
              <w:t>3調査の点検事項（母数・回答の偏り・重複・未回答施設）の取扱いは当方の判定のままとし、確定していないものは［要確認］として残した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第2章第5節</w:t>
            </w:r>
          </w:p>
        </w:tc>
      </w:tr>
      <w:tr>
        <w:trPr>
          <w:cantSplit/>
        </w:trPr>
        <w:tc>
          <w:tcPr>
            <w:tcW w:type="dxa" w:w="794"/>
            <w:vAlign w:val="center"/>
          </w:tcPr>
          <w:p>
            <w:pPr>
              <w:spacing w:after="0"/>
              <w:jc w:val="center"/>
            </w:pPr>
            <w:r>
              <w:rPr>
                <w:rFonts w:ascii="游ゴシック" w:hAnsi="游ゴシック" w:eastAsia="游ゴシック"/>
                <w:b w:val="0"/>
                <w:sz w:val="16"/>
              </w:rPr>
              <w:t>No.19</w:t>
            </w:r>
          </w:p>
        </w:tc>
        <w:tc>
          <w:tcPr>
            <w:tcW w:type="dxa" w:w="2608"/>
            <w:vAlign w:val="center"/>
          </w:tcPr>
          <w:p>
            <w:pPr>
              <w:spacing w:after="0"/>
            </w:pPr>
            <w:r>
              <w:rPr>
                <w:rFonts w:ascii="游ゴシック" w:hAnsi="游ゴシック" w:eastAsia="游ゴシック"/>
                <w:b w:val="0"/>
                <w:sz w:val="16"/>
              </w:rPr>
              <w:t>会議日程とパブリックコメントの期間</w:t>
            </w:r>
          </w:p>
        </w:tc>
        <w:tc>
          <w:tcPr>
            <w:tcW w:type="dxa" w:w="4649"/>
            <w:vAlign w:val="center"/>
          </w:tcPr>
          <w:p>
            <w:pPr>
              <w:spacing w:after="0"/>
            </w:pPr>
            <w:r>
              <w:rPr>
                <w:rFonts w:ascii="游ゴシック" w:hAnsi="游ゴシック" w:eastAsia="游ゴシック"/>
                <w:b w:val="0"/>
                <w:sz w:val="16"/>
              </w:rPr>
              <w:t>意見公募手続は令和9年1月にウェブサイトにより2週間実施し概要版を併せて示すものとして掲げ、方法及び時期は［要協議］のまま残した</w:t>
            </w:r>
          </w:p>
        </w:tc>
        <w:tc>
          <w:tcPr>
            <w:tcW w:type="dxa" w:w="1701"/>
            <w:vAlign w:val="center"/>
          </w:tcPr>
          <w:p>
            <w:pPr>
              <w:spacing w:after="0"/>
            </w:pPr>
            <w:r>
              <w:rPr>
                <w:rFonts w:ascii="游ゴシック" w:hAnsi="游ゴシック" w:eastAsia="游ゴシック"/>
                <w:b w:val="0"/>
                <w:sz w:val="16"/>
              </w:rPr>
              <w:t>第1章第5節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No.42</w:t>
            </w:r>
          </w:p>
        </w:tc>
        <w:tc>
          <w:tcPr>
            <w:tcW w:type="dxa" w:w="2608"/>
            <w:shd w:val="clear" w:color="auto" w:fill="F2F5FA"/>
            <w:vAlign w:val="center"/>
          </w:tcPr>
          <w:p>
            <w:pPr>
              <w:spacing w:after="0"/>
            </w:pPr>
            <w:r>
              <w:rPr>
                <w:rFonts w:ascii="游ゴシック" w:hAnsi="游ゴシック" w:eastAsia="游ゴシック"/>
                <w:b w:val="0"/>
                <w:sz w:val="16"/>
              </w:rPr>
              <w:t>キックオフ会議資料への工程表の反映</w:t>
            </w:r>
          </w:p>
        </w:tc>
        <w:tc>
          <w:tcPr>
            <w:tcW w:type="dxa" w:w="4649"/>
            <w:shd w:val="clear" w:color="auto" w:fill="F2F5FA"/>
            <w:vAlign w:val="center"/>
          </w:tcPr>
          <w:p>
            <w:pPr>
              <w:spacing w:after="0"/>
            </w:pPr>
            <w:r>
              <w:rPr>
                <w:rFonts w:ascii="游ゴシック" w:hAnsi="游ゴシック" w:eastAsia="游ゴシック"/>
                <w:b w:val="0"/>
                <w:sz w:val="16"/>
              </w:rPr>
              <w:t>キックオフ会議資料の工程表は現行のまま進めた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w:t>
            </w:r>
          </w:p>
        </w:tc>
        <w:tc>
          <w:tcPr>
            <w:tcW w:type="dxa" w:w="2608"/>
            <w:vAlign w:val="center"/>
          </w:tcPr>
          <w:p>
            <w:pPr>
              <w:spacing w:after="0"/>
            </w:pPr>
            <w:r>
              <w:rPr>
                <w:rFonts w:ascii="游ゴシック" w:hAnsi="游ゴシック" w:eastAsia="游ゴシック"/>
                <w:b w:val="0"/>
                <w:sz w:val="16"/>
              </w:rPr>
              <w:t>調査の対象者範囲と回収率</w:t>
            </w:r>
          </w:p>
        </w:tc>
        <w:tc>
          <w:tcPr>
            <w:tcW w:type="dxa" w:w="4649"/>
            <w:vAlign w:val="center"/>
          </w:tcPr>
          <w:p>
            <w:pPr>
              <w:spacing w:after="0"/>
            </w:pPr>
            <w:r>
              <w:rPr>
                <w:rFonts w:ascii="游ゴシック" w:hAnsi="游ゴシック" w:eastAsia="游ゴシック"/>
                <w:b w:val="0"/>
                <w:sz w:val="16"/>
              </w:rPr>
              <w:t>現に収録している対象者の範囲及び回収率によることとし、設問ごとに分母が異なることを注に明示した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w:t>
            </w:r>
          </w:p>
        </w:tc>
        <w:tc>
          <w:tcPr>
            <w:tcW w:type="dxa" w:w="2608"/>
            <w:shd w:val="clear" w:color="auto" w:fill="F2F5FA"/>
            <w:vAlign w:val="center"/>
          </w:tcPr>
          <w:p>
            <w:pPr>
              <w:spacing w:after="0"/>
            </w:pPr>
            <w:r>
              <w:rPr>
                <w:rFonts w:ascii="游ゴシック" w:hAnsi="游ゴシック" w:eastAsia="游ゴシック"/>
                <w:b w:val="0"/>
                <w:sz w:val="16"/>
              </w:rPr>
              <w:t>介護人材実態調査の採用者数・退職者数</w:t>
            </w:r>
          </w:p>
        </w:tc>
        <w:tc>
          <w:tcPr>
            <w:tcW w:type="dxa" w:w="4649"/>
            <w:shd w:val="clear" w:color="auto" w:fill="F2F5FA"/>
            <w:vAlign w:val="center"/>
          </w:tcPr>
          <w:p>
            <w:pPr>
              <w:spacing w:after="0"/>
            </w:pPr>
            <w:r>
              <w:rPr>
                <w:rFonts w:ascii="游ゴシック" w:hAnsi="游ゴシック" w:eastAsia="游ゴシック"/>
                <w:b w:val="0"/>
                <w:sz w:val="16"/>
              </w:rPr>
              <w:t>採用83人・離職65人（同一法人の重複を除いた値）によることとし、代表KPI H14は各年9月30日現在の在籍者数を確認できないため未算定のままとした</w:t>
            </w:r>
          </w:p>
        </w:tc>
        <w:tc>
          <w:tcPr>
            <w:tcW w:type="dxa" w:w="1701"/>
            <w:shd w:val="clear" w:color="auto" w:fill="F2F5FA"/>
            <w:vAlign w:val="center"/>
          </w:tcPr>
          <w:p>
            <w:pPr>
              <w:spacing w:after="0"/>
            </w:pPr>
            <w:r>
              <w:rPr>
                <w:rFonts w:ascii="游ゴシック" w:hAnsi="游ゴシック" w:eastAsia="游ゴシック"/>
                <w:b w:val="0"/>
                <w:sz w:val="16"/>
              </w:rPr>
              <w:t>第2章第6節・第4章第3節</w:t>
            </w:r>
          </w:p>
        </w:tc>
      </w:tr>
      <w:tr>
        <w:trPr>
          <w:cantSplit/>
        </w:trPr>
        <w:tc>
          <w:tcPr>
            <w:tcW w:type="dxa" w:w="794"/>
            <w:vAlign w:val="center"/>
          </w:tcPr>
          <w:p>
            <w:pPr>
              <w:spacing w:after="0"/>
              <w:jc w:val="center"/>
            </w:pPr>
            <w:r>
              <w:rPr>
                <w:rFonts w:ascii="游ゴシック" w:hAnsi="游ゴシック" w:eastAsia="游ゴシック"/>
                <w:b w:val="0"/>
                <w:sz w:val="16"/>
              </w:rPr>
              <w:t>No.11</w:t>
            </w:r>
          </w:p>
        </w:tc>
        <w:tc>
          <w:tcPr>
            <w:tcW w:type="dxa" w:w="2608"/>
            <w:vAlign w:val="center"/>
          </w:tcPr>
          <w:p>
            <w:pPr>
              <w:spacing w:after="0"/>
            </w:pPr>
            <w:r>
              <w:rPr>
                <w:rFonts w:ascii="游ゴシック" w:hAnsi="游ゴシック" w:eastAsia="游ゴシック"/>
                <w:b w:val="0"/>
                <w:sz w:val="16"/>
              </w:rPr>
              <w:t>町別の人口・世帯データ</w:t>
            </w:r>
          </w:p>
        </w:tc>
        <w:tc>
          <w:tcPr>
            <w:tcW w:type="dxa" w:w="4649"/>
            <w:vAlign w:val="center"/>
          </w:tcPr>
          <w:p>
            <w:pPr>
              <w:spacing w:after="0"/>
            </w:pPr>
            <w:r>
              <w:rPr>
                <w:rFonts w:ascii="游ゴシック" w:hAnsi="游ゴシック" w:eastAsia="游ゴシック"/>
                <w:b w:val="0"/>
                <w:sz w:val="16"/>
              </w:rPr>
              <w:t>町別・年齢4区分別の人口は令和5年までの各年10月1日現在の値であり、令和6年以降の趨勢は公表されている各年1月1日現在の値による（時点が9か月異なるため同じ系列としてつなげていない）旨を注に明示した</w:t>
            </w:r>
          </w:p>
        </w:tc>
        <w:tc>
          <w:tcPr>
            <w:tcW w:type="dxa" w:w="1701"/>
            <w:vAlign w:val="center"/>
          </w:tcPr>
          <w:p>
            <w:pPr>
              <w:spacing w:after="0"/>
            </w:pPr>
            <w:r>
              <w:rPr>
                <w:rFonts w:ascii="游ゴシック" w:hAnsi="游ゴシック" w:eastAsia="游ゴシック"/>
                <w:b w:val="0"/>
                <w:sz w:val="16"/>
              </w:rPr>
              <w:t>第2章第1節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w:t>
            </w:r>
          </w:p>
        </w:tc>
        <w:tc>
          <w:tcPr>
            <w:tcW w:type="dxa" w:w="2608"/>
            <w:shd w:val="clear" w:color="auto" w:fill="F2F5FA"/>
            <w:vAlign w:val="center"/>
          </w:tcPr>
          <w:p>
            <w:pPr>
              <w:spacing w:after="0"/>
            </w:pPr>
            <w:r>
              <w:rPr>
                <w:rFonts w:ascii="游ゴシック" w:hAnsi="游ゴシック" w:eastAsia="游ゴシック"/>
                <w:b w:val="0"/>
                <w:sz w:val="16"/>
              </w:rPr>
              <w:t>日常生活圏域別のデータ</w:t>
            </w:r>
          </w:p>
        </w:tc>
        <w:tc>
          <w:tcPr>
            <w:tcW w:type="dxa" w:w="4649"/>
            <w:shd w:val="clear" w:color="auto" w:fill="F2F5FA"/>
            <w:vAlign w:val="center"/>
          </w:tcPr>
          <w:p>
            <w:pPr>
              <w:spacing w:after="0"/>
            </w:pPr>
            <w:r>
              <w:rPr>
                <w:rFonts w:ascii="游ゴシック" w:hAnsi="游ゴシック" w:eastAsia="游ゴシック"/>
                <w:b w:val="0"/>
                <w:sz w:val="16"/>
              </w:rPr>
              <w:t>基盤整備単位は3町（3圏域）とする案のままとし、圏域別の値は第9期計画による令和5年10月1日現在であること及び小学校区と6圏域の対応が確定していないことを注に明示した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No.18</w:t>
            </w:r>
          </w:p>
        </w:tc>
        <w:tc>
          <w:tcPr>
            <w:tcW w:type="dxa" w:w="2608"/>
            <w:vAlign w:val="center"/>
          </w:tcPr>
          <w:p>
            <w:pPr>
              <w:spacing w:after="0"/>
            </w:pPr>
            <w:r>
              <w:rPr>
                <w:rFonts w:ascii="游ゴシック" w:hAnsi="游ゴシック" w:eastAsia="游ゴシック"/>
                <w:b w:val="0"/>
                <w:sz w:val="16"/>
              </w:rPr>
              <w:t>骨子案の内容の確認</w:t>
            </w:r>
          </w:p>
        </w:tc>
        <w:tc>
          <w:tcPr>
            <w:tcW w:type="dxa" w:w="4649"/>
            <w:vAlign w:val="center"/>
          </w:tcPr>
          <w:p>
            <w:pPr>
              <w:spacing w:after="0"/>
            </w:pPr>
            <w:r>
              <w:rPr>
                <w:rFonts w:ascii="游ゴシック" w:hAnsi="游ゴシック" w:eastAsia="游ゴシック"/>
                <w:b w:val="0"/>
                <w:sz w:val="16"/>
              </w:rPr>
              <w:t>骨子案は提出した内容のままとした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No.22</w:t>
            </w:r>
          </w:p>
        </w:tc>
        <w:tc>
          <w:tcPr>
            <w:tcW w:type="dxa" w:w="2608"/>
            <w:shd w:val="clear" w:color="auto" w:fill="F2F5FA"/>
            <w:vAlign w:val="center"/>
          </w:tcPr>
          <w:p>
            <w:pPr>
              <w:spacing w:after="0"/>
            </w:pPr>
            <w:r>
              <w:rPr>
                <w:rFonts w:ascii="游ゴシック" w:hAnsi="游ゴシック" w:eastAsia="游ゴシック"/>
                <w:b w:val="0"/>
                <w:sz w:val="16"/>
              </w:rPr>
              <w:t>北海道の評価指標の読替えの考え方</w:t>
            </w:r>
          </w:p>
        </w:tc>
        <w:tc>
          <w:tcPr>
            <w:tcW w:type="dxa" w:w="4649"/>
            <w:shd w:val="clear" w:color="auto" w:fill="F2F5FA"/>
            <w:vAlign w:val="center"/>
          </w:tcPr>
          <w:p>
            <w:pPr>
              <w:spacing w:after="0"/>
            </w:pPr>
            <w:r>
              <w:rPr>
                <w:rFonts w:ascii="游ゴシック" w:hAnsi="游ゴシック" w:eastAsia="游ゴシック"/>
                <w:b w:val="0"/>
                <w:sz w:val="16"/>
              </w:rPr>
              <w:t>北海道の評価指標のうち市町村数を単位とするものの読替えは当方の整理によることとし（読替えの方法は第8節の表）、考え方が示された場合は改める旨を第6節の注に明示した</w:t>
            </w:r>
          </w:p>
        </w:tc>
        <w:tc>
          <w:tcPr>
            <w:tcW w:type="dxa" w:w="1701"/>
            <w:shd w:val="clear" w:color="auto" w:fill="F2F5FA"/>
            <w:vAlign w:val="center"/>
          </w:tcPr>
          <w:p>
            <w:pPr>
              <w:spacing w:after="0"/>
            </w:pPr>
            <w:r>
              <w:rPr>
                <w:rFonts w:ascii="游ゴシック" w:hAnsi="游ゴシック" w:eastAsia="游ゴシック"/>
                <w:b w:val="0"/>
                <w:sz w:val="16"/>
              </w:rPr>
              <w:t>第1章第6節・第8節</w:t>
            </w:r>
          </w:p>
        </w:tc>
      </w:tr>
      <w:tr>
        <w:trPr>
          <w:cantSplit/>
        </w:trPr>
        <w:tc>
          <w:tcPr>
            <w:tcW w:type="dxa" w:w="794"/>
            <w:vAlign w:val="center"/>
          </w:tcPr>
          <w:p>
            <w:pPr>
              <w:spacing w:after="0"/>
              <w:jc w:val="center"/>
            </w:pPr>
            <w:r>
              <w:rPr>
                <w:rFonts w:ascii="游ゴシック" w:hAnsi="游ゴシック" w:eastAsia="游ゴシック"/>
                <w:b w:val="0"/>
                <w:sz w:val="16"/>
              </w:rPr>
              <w:t>No.27</w:t>
            </w:r>
          </w:p>
        </w:tc>
        <w:tc>
          <w:tcPr>
            <w:tcW w:type="dxa" w:w="2608"/>
            <w:vAlign w:val="center"/>
          </w:tcPr>
          <w:p>
            <w:pPr>
              <w:spacing w:after="0"/>
            </w:pPr>
            <w:r>
              <w:rPr>
                <w:rFonts w:ascii="游ゴシック" w:hAnsi="游ゴシック" w:eastAsia="游ゴシック"/>
                <w:b w:val="0"/>
                <w:sz w:val="16"/>
              </w:rPr>
              <w:t>令和4年度 健康とくらしの調査の集計表</w:t>
            </w:r>
          </w:p>
        </w:tc>
        <w:tc>
          <w:tcPr>
            <w:tcW w:type="dxa" w:w="4649"/>
            <w:vAlign w:val="center"/>
          </w:tcPr>
          <w:p>
            <w:pPr>
              <w:spacing w:after="0"/>
            </w:pPr>
            <w:r>
              <w:rPr>
                <w:rFonts w:ascii="游ゴシック" w:hAnsi="游ゴシック" w:eastAsia="游ゴシック"/>
                <w:b w:val="0"/>
                <w:sz w:val="16"/>
              </w:rPr>
              <w:t>前回との比較は第9期計画の本文に掲げられた指標に限り、検定は有効回答数を約4,700として行っている旨を注に明示した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No.28</w:t>
            </w:r>
          </w:p>
        </w:tc>
        <w:tc>
          <w:tcPr>
            <w:tcW w:type="dxa" w:w="2608"/>
            <w:shd w:val="clear" w:color="auto" w:fill="F2F5FA"/>
            <w:vAlign w:val="center"/>
          </w:tcPr>
          <w:p>
            <w:pPr>
              <w:spacing w:after="0"/>
            </w:pPr>
            <w:r>
              <w:rPr>
                <w:rFonts w:ascii="游ゴシック" w:hAnsi="游ゴシック" w:eastAsia="游ゴシック"/>
                <w:b w:val="0"/>
                <w:sz w:val="16"/>
              </w:rPr>
              <w:t>調査対象者の範囲の確認</w:t>
            </w:r>
          </w:p>
        </w:tc>
        <w:tc>
          <w:tcPr>
            <w:tcW w:type="dxa" w:w="4649"/>
            <w:shd w:val="clear" w:color="auto" w:fill="F2F5FA"/>
            <w:vAlign w:val="center"/>
          </w:tcPr>
          <w:p>
            <w:pPr>
              <w:spacing w:after="0"/>
            </w:pPr>
            <w:r>
              <w:rPr>
                <w:rFonts w:ascii="游ゴシック" w:hAnsi="游ゴシック" w:eastAsia="游ゴシック"/>
                <w:b w:val="0"/>
                <w:sz w:val="16"/>
              </w:rPr>
              <w:t>健康とくらしの調査の対象者に要支援者及び要介護者を含まないことと、他の調査と母集団が異なるため合算できないことを明示した</w:t>
            </w:r>
          </w:p>
        </w:tc>
        <w:tc>
          <w:tcPr>
            <w:tcW w:type="dxa" w:w="1701"/>
            <w:shd w:val="clear" w:color="auto" w:fill="F2F5FA"/>
            <w:vAlign w:val="center"/>
          </w:tcPr>
          <w:p>
            <w:pPr>
              <w:spacing w:after="0"/>
            </w:pPr>
            <w:r>
              <w:rPr>
                <w:rFonts w:ascii="游ゴシック" w:hAnsi="游ゴシック" w:eastAsia="游ゴシック"/>
                <w:b w:val="0"/>
                <w:sz w:val="16"/>
              </w:rPr>
              <w:t>第2章第4節</w:t>
            </w:r>
          </w:p>
        </w:tc>
      </w:tr>
      <w:tr>
        <w:trPr>
          <w:cantSplit/>
        </w:trPr>
        <w:tc>
          <w:tcPr>
            <w:tcW w:type="dxa" w:w="794"/>
            <w:vAlign w:val="center"/>
          </w:tcPr>
          <w:p>
            <w:pPr>
              <w:spacing w:after="0"/>
              <w:jc w:val="center"/>
            </w:pPr>
            <w:r>
              <w:rPr>
                <w:rFonts w:ascii="游ゴシック" w:hAnsi="游ゴシック" w:eastAsia="游ゴシック"/>
                <w:b w:val="0"/>
                <w:sz w:val="16"/>
              </w:rPr>
              <w:t>No.38</w:t>
            </w:r>
          </w:p>
        </w:tc>
        <w:tc>
          <w:tcPr>
            <w:tcW w:type="dxa" w:w="2608"/>
            <w:vAlign w:val="center"/>
          </w:tcPr>
          <w:p>
            <w:pPr>
              <w:spacing w:after="0"/>
            </w:pPr>
            <w:r>
              <w:rPr>
                <w:rFonts w:ascii="游ゴシック" w:hAnsi="游ゴシック" w:eastAsia="游ゴシック"/>
                <w:b w:val="0"/>
                <w:sz w:val="16"/>
              </w:rPr>
              <w:t>交付金評価の令和6年・令和7年調査の結果</w:t>
            </w:r>
          </w:p>
        </w:tc>
        <w:tc>
          <w:tcPr>
            <w:tcW w:type="dxa" w:w="4649"/>
            <w:vAlign w:val="center"/>
          </w:tcPr>
          <w:p>
            <w:pPr>
              <w:spacing w:after="0"/>
            </w:pPr>
            <w:r>
              <w:rPr>
                <w:rFonts w:ascii="游ゴシック" w:hAnsi="游ゴシック" w:eastAsia="游ゴシック"/>
                <w:b w:val="0"/>
                <w:sz w:val="16"/>
              </w:rPr>
              <w:t>公表されている全国集計の値によることとし、令和6年度分の評価は第8期の取組を反映したものであって評価の年度と取組の年度が一致しないことを注に明示した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No.46</w:t>
            </w:r>
          </w:p>
        </w:tc>
        <w:tc>
          <w:tcPr>
            <w:tcW w:type="dxa" w:w="2608"/>
            <w:shd w:val="clear" w:color="auto" w:fill="F2F5FA"/>
            <w:vAlign w:val="center"/>
          </w:tcPr>
          <w:p>
            <w:pPr>
              <w:spacing w:after="0"/>
            </w:pPr>
            <w:r>
              <w:rPr>
                <w:rFonts w:ascii="游ゴシック" w:hAnsi="游ゴシック" w:eastAsia="游ゴシック"/>
                <w:b w:val="0"/>
                <w:sz w:val="16"/>
              </w:rPr>
              <w:t>令和7年度の給付費の集計が一致しない</w:t>
            </w:r>
          </w:p>
        </w:tc>
        <w:tc>
          <w:tcPr>
            <w:tcW w:type="dxa" w:w="4649"/>
            <w:shd w:val="clear" w:color="auto" w:fill="F2F5FA"/>
            <w:vAlign w:val="center"/>
          </w:tcPr>
          <w:p>
            <w:pPr>
              <w:spacing w:after="0"/>
            </w:pPr>
            <w:r>
              <w:rPr>
                <w:rFonts w:ascii="游ゴシック" w:hAnsi="游ゴシック" w:eastAsia="游ゴシック"/>
                <w:b w:val="0"/>
                <w:sz w:val="16"/>
              </w:rPr>
              <w:t>令和8年9月25日の再提供により決着した。再提供を受けたファイルの値（3町合計と要介護度別まで円単位一致）による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No.47</w:t>
            </w:r>
          </w:p>
        </w:tc>
        <w:tc>
          <w:tcPr>
            <w:tcW w:type="dxa" w:w="2608"/>
            <w:vAlign w:val="center"/>
          </w:tcPr>
          <w:p>
            <w:pPr>
              <w:spacing w:after="0"/>
            </w:pPr>
            <w:r>
              <w:rPr>
                <w:rFonts w:ascii="游ゴシック" w:hAnsi="游ゴシック" w:eastAsia="游ゴシック"/>
                <w:b w:val="0"/>
                <w:sz w:val="16"/>
              </w:rPr>
              <w:t>計画作成支援ツールの実績値シートの確認</w:t>
            </w:r>
          </w:p>
        </w:tc>
        <w:tc>
          <w:tcPr>
            <w:tcW w:type="dxa" w:w="4649"/>
            <w:vAlign w:val="center"/>
          </w:tcPr>
          <w:p>
            <w:pPr>
              <w:spacing w:after="0"/>
            </w:pPr>
            <w:r>
              <w:rPr>
                <w:rFonts w:ascii="游ゴシック" w:hAnsi="游ゴシック" w:eastAsia="游ゴシック"/>
                <w:b w:val="0"/>
                <w:sz w:val="16"/>
              </w:rPr>
              <w:t>給付費の実績は年報及び総括表詳細（保険者単位）によることとし、計画作成支援ツールの実績値は3町を合計しても保険者単位にならないため比較のためにのみ用いる旨を注に明示した</w:t>
            </w:r>
          </w:p>
        </w:tc>
        <w:tc>
          <w:tcPr>
            <w:tcW w:type="dxa" w:w="1701"/>
            <w:vAlign w:val="center"/>
          </w:tcPr>
          <w:p>
            <w:pPr>
              <w:spacing w:after="0"/>
            </w:pPr>
            <w:r>
              <w:rPr>
                <w:rFonts w:ascii="游ゴシック" w:hAnsi="游ゴシック" w:eastAsia="游ゴシック"/>
                <w:b w:val="0"/>
                <w:sz w:val="16"/>
              </w:rPr>
              <w:t>第6章第3節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No.48</w:t>
            </w:r>
          </w:p>
        </w:tc>
        <w:tc>
          <w:tcPr>
            <w:tcW w:type="dxa" w:w="2608"/>
            <w:shd w:val="clear" w:color="auto" w:fill="F2F5FA"/>
            <w:vAlign w:val="center"/>
          </w:tcPr>
          <w:p>
            <w:pPr>
              <w:spacing w:after="0"/>
            </w:pPr>
            <w:r>
              <w:rPr>
                <w:rFonts w:ascii="游ゴシック" w:hAnsi="游ゴシック" w:eastAsia="游ゴシック"/>
                <w:b w:val="0"/>
                <w:sz w:val="16"/>
              </w:rPr>
              <w:t>総合事業の実施状況に関する調査（令和6年度）の確認</w:t>
            </w:r>
          </w:p>
        </w:tc>
        <w:tc>
          <w:tcPr>
            <w:tcW w:type="dxa" w:w="4649"/>
            <w:shd w:val="clear" w:color="auto" w:fill="F2F5FA"/>
            <w:vAlign w:val="center"/>
          </w:tcPr>
          <w:p>
            <w:pPr>
              <w:spacing w:after="0"/>
            </w:pPr>
            <w:r>
              <w:rPr>
                <w:rFonts w:ascii="游ゴシック" w:hAnsi="游ゴシック" w:eastAsia="游ゴシック"/>
                <w:b w:val="0"/>
                <w:sz w:val="16"/>
              </w:rPr>
              <w:t>収録済みの令和6年度の総合事業の実施状況に関する調査の値によることとし、参加率の分母が見える化システムのA系列であり住民基本台帳とは異なる旨を注に明示した</w:t>
            </w:r>
          </w:p>
        </w:tc>
        <w:tc>
          <w:tcPr>
            <w:tcW w:type="dxa" w:w="1701"/>
            <w:shd w:val="clear" w:color="auto" w:fill="F2F5FA"/>
            <w:vAlign w:val="center"/>
          </w:tcPr>
          <w:p>
            <w:pPr>
              <w:spacing w:after="0"/>
            </w:pPr>
            <w:r>
              <w:rPr>
                <w:rFonts w:ascii="游ゴシック" w:hAnsi="游ゴシック" w:eastAsia="游ゴシック"/>
                <w:b w:val="0"/>
                <w:sz w:val="16"/>
              </w:rPr>
              <w:t>第3章第1節・第2節</w:t>
            </w:r>
          </w:p>
        </w:tc>
      </w:tr>
      <w:tr>
        <w:trPr>
          <w:cantSplit/>
        </w:trPr>
        <w:tc>
          <w:tcPr>
            <w:tcW w:type="dxa" w:w="794"/>
            <w:vAlign w:val="center"/>
          </w:tcPr>
          <w:p>
            <w:pPr>
              <w:spacing w:after="0"/>
              <w:jc w:val="center"/>
            </w:pPr>
            <w:r>
              <w:rPr>
                <w:rFonts w:ascii="游ゴシック" w:hAnsi="游ゴシック" w:eastAsia="游ゴシック"/>
                <w:b w:val="0"/>
                <w:sz w:val="16"/>
              </w:rPr>
              <w:t>No.50</w:t>
            </w:r>
          </w:p>
        </w:tc>
        <w:tc>
          <w:tcPr>
            <w:tcW w:type="dxa" w:w="2608"/>
            <w:vAlign w:val="center"/>
          </w:tcPr>
          <w:p>
            <w:pPr>
              <w:spacing w:after="0"/>
            </w:pPr>
            <w:r>
              <w:rPr>
                <w:rFonts w:ascii="游ゴシック" w:hAnsi="游ゴシック" w:eastAsia="游ゴシック"/>
                <w:b w:val="0"/>
                <w:sz w:val="16"/>
              </w:rPr>
              <w:t>年報・月報の受領に伴う確認</w:t>
            </w:r>
          </w:p>
        </w:tc>
        <w:tc>
          <w:tcPr>
            <w:tcW w:type="dxa" w:w="4649"/>
            <w:vAlign w:val="center"/>
          </w:tcPr>
          <w:p>
            <w:pPr>
              <w:spacing w:after="0"/>
            </w:pPr>
            <w:r>
              <w:rPr>
                <w:rFonts w:ascii="游ゴシック" w:hAnsi="游ゴシック" w:eastAsia="游ゴシック"/>
                <w:b w:val="0"/>
                <w:sz w:val="16"/>
              </w:rPr>
              <w:t>受領済みの年報・月報の値によることとし、重度要介護認定率の実績は見える化システムの系列による6.3％であって年報から算定すると6.38％になること（判定は変わらない）を注に明示した</w:t>
            </w:r>
          </w:p>
        </w:tc>
        <w:tc>
          <w:tcPr>
            <w:tcW w:type="dxa" w:w="1701"/>
            <w:vAlign w:val="center"/>
          </w:tcPr>
          <w:p>
            <w:pPr>
              <w:spacing w:after="0"/>
            </w:pPr>
            <w:r>
              <w:rPr>
                <w:rFonts w:ascii="游ゴシック" w:hAnsi="游ゴシック" w:eastAsia="游ゴシック"/>
                <w:b w:val="0"/>
                <w:sz w:val="16"/>
              </w:rPr>
              <w:t>第3章第1節・第6章第6節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No.51</w:t>
            </w:r>
          </w:p>
        </w:tc>
        <w:tc>
          <w:tcPr>
            <w:tcW w:type="dxa" w:w="2608"/>
            <w:shd w:val="clear" w:color="auto" w:fill="F2F5FA"/>
            <w:vAlign w:val="center"/>
          </w:tcPr>
          <w:p>
            <w:pPr>
              <w:spacing w:after="0"/>
            </w:pPr>
            <w:r>
              <w:rPr>
                <w:rFonts w:ascii="游ゴシック" w:hAnsi="游ゴシック" w:eastAsia="游ゴシック"/>
                <w:b w:val="0"/>
                <w:sz w:val="16"/>
              </w:rPr>
              <w:t>月報の値の接続のずれ（ご報告）</w:t>
            </w:r>
          </w:p>
        </w:tc>
        <w:tc>
          <w:tcPr>
            <w:tcW w:type="dxa" w:w="4649"/>
            <w:shd w:val="clear" w:color="auto" w:fill="F2F5FA"/>
            <w:vAlign w:val="center"/>
          </w:tcPr>
          <w:p>
            <w:pPr>
              <w:spacing w:after="0"/>
            </w:pPr>
            <w:r>
              <w:rPr>
                <w:rFonts w:ascii="游ゴシック" w:hAnsi="游ゴシック" w:eastAsia="游ゴシック"/>
                <w:b w:val="0"/>
                <w:sz w:val="16"/>
              </w:rPr>
              <w:t>月報の値の接続のずれは受領点検に記録として残し、計画本文には用いていない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No.52</w:t>
            </w:r>
          </w:p>
        </w:tc>
        <w:tc>
          <w:tcPr>
            <w:tcW w:type="dxa" w:w="2608"/>
            <w:vAlign w:val="center"/>
          </w:tcPr>
          <w:p>
            <w:pPr>
              <w:spacing w:after="0"/>
            </w:pPr>
            <w:r>
              <w:rPr>
                <w:rFonts w:ascii="游ゴシック" w:hAnsi="游ゴシック" w:eastAsia="游ゴシック"/>
                <w:b w:val="0"/>
                <w:sz w:val="16"/>
              </w:rPr>
              <w:t>令和6年度決算書の受領に伴う確認</w:t>
            </w:r>
          </w:p>
        </w:tc>
        <w:tc>
          <w:tcPr>
            <w:tcW w:type="dxa" w:w="4649"/>
            <w:vAlign w:val="center"/>
          </w:tcPr>
          <w:p>
            <w:pPr>
              <w:spacing w:after="0"/>
            </w:pPr>
            <w:r>
              <w:rPr>
                <w:rFonts w:ascii="游ゴシック" w:hAnsi="游ゴシック" w:eastAsia="游ゴシック"/>
                <w:b w:val="0"/>
                <w:sz w:val="16"/>
              </w:rPr>
              <w:t>区分の名称及び科目は令和6年度決算書の表記によることとし、「一般介護予防事業費」の項がないことを注に明示した（地域支援事業費の総額は変わらない）</w:t>
            </w:r>
          </w:p>
        </w:tc>
        <w:tc>
          <w:tcPr>
            <w:tcW w:type="dxa" w:w="1701"/>
            <w:vAlign w:val="center"/>
          </w:tcPr>
          <w:p>
            <w:pPr>
              <w:spacing w:after="0"/>
            </w:pPr>
            <w:r>
              <w:rPr>
                <w:rFonts w:ascii="游ゴシック" w:hAnsi="游ゴシック" w:eastAsia="游ゴシック"/>
                <w:b w:val="0"/>
                <w:sz w:val="16"/>
              </w:rPr>
              <w:t>第3章第2節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No.53</w:t>
            </w:r>
          </w:p>
        </w:tc>
        <w:tc>
          <w:tcPr>
            <w:tcW w:type="dxa" w:w="2608"/>
            <w:shd w:val="clear" w:color="auto" w:fill="F2F5FA"/>
            <w:vAlign w:val="center"/>
          </w:tcPr>
          <w:p>
            <w:pPr>
              <w:spacing w:after="0"/>
            </w:pPr>
            <w:r>
              <w:rPr>
                <w:rFonts w:ascii="游ゴシック" w:hAnsi="游ゴシック" w:eastAsia="游ゴシック"/>
                <w:b w:val="0"/>
                <w:sz w:val="16"/>
              </w:rPr>
              <w:t>介護保険事業財政調整基金の積立ての上限と取崩方針</w:t>
            </w:r>
          </w:p>
        </w:tc>
        <w:tc>
          <w:tcPr>
            <w:tcW w:type="dxa" w:w="4649"/>
            <w:shd w:val="clear" w:color="auto" w:fill="F2F5FA"/>
            <w:vAlign w:val="center"/>
          </w:tcPr>
          <w:p>
            <w:pPr>
              <w:spacing w:after="0"/>
            </w:pPr>
            <w:r>
              <w:rPr>
                <w:rFonts w:ascii="游ゴシック" w:hAnsi="游ゴシック" w:eastAsia="游ゴシック"/>
                <w:b w:val="0"/>
                <w:sz w:val="16"/>
              </w:rPr>
              <w:t>財政調整基金を取り崩さないものとして算定し（不足する側に誤らない置き方）、1億円を取り崩した場合の月額への効きを併記した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w:t>
            </w:r>
          </w:p>
        </w:tc>
      </w:tr>
      <w:tr>
        <w:trPr>
          <w:cantSplit/>
        </w:trPr>
        <w:tc>
          <w:tcPr>
            <w:tcW w:type="dxa" w:w="794"/>
            <w:vAlign w:val="center"/>
          </w:tcPr>
          <w:p>
            <w:pPr>
              <w:spacing w:after="0"/>
              <w:jc w:val="center"/>
            </w:pPr>
            <w:r>
              <w:rPr>
                <w:rFonts w:ascii="游ゴシック" w:hAnsi="游ゴシック" w:eastAsia="游ゴシック"/>
                <w:b w:val="0"/>
                <w:sz w:val="16"/>
              </w:rPr>
              <w:t>No.54</w:t>
            </w:r>
          </w:p>
        </w:tc>
        <w:tc>
          <w:tcPr>
            <w:tcW w:type="dxa" w:w="2608"/>
            <w:vAlign w:val="center"/>
          </w:tcPr>
          <w:p>
            <w:pPr>
              <w:spacing w:after="0"/>
            </w:pPr>
            <w:r>
              <w:rPr>
                <w:rFonts w:ascii="游ゴシック" w:hAnsi="游ゴシック" w:eastAsia="游ゴシック"/>
                <w:b w:val="0"/>
                <w:sz w:val="16"/>
              </w:rPr>
              <w:t>議事録の文書プロパティに個人名が再度入る</w:t>
            </w:r>
          </w:p>
        </w:tc>
        <w:tc>
          <w:tcPr>
            <w:tcW w:type="dxa" w:w="4649"/>
            <w:vAlign w:val="center"/>
          </w:tcPr>
          <w:p>
            <w:pPr>
              <w:spacing w:after="0"/>
            </w:pPr>
            <w:r>
              <w:rPr>
                <w:rFonts w:ascii="游ゴシック" w:hAnsi="游ゴシック" w:eastAsia="游ゴシック"/>
                <w:b w:val="0"/>
                <w:sz w:val="16"/>
              </w:rPr>
              <w:t>中間報告会議議事録の文書プロパティの作成者を法人名とし、個人名が入らない形で再出力した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No.55</w:t>
            </w:r>
          </w:p>
        </w:tc>
        <w:tc>
          <w:tcPr>
            <w:tcW w:type="dxa" w:w="2608"/>
            <w:shd w:val="clear" w:color="auto" w:fill="F2F5FA"/>
            <w:vAlign w:val="center"/>
          </w:tcPr>
          <w:p>
            <w:pPr>
              <w:spacing w:after="0"/>
            </w:pPr>
            <w:r>
              <w:rPr>
                <w:rFonts w:ascii="游ゴシック" w:hAnsi="游ゴシック" w:eastAsia="游ゴシック"/>
                <w:b w:val="0"/>
                <w:sz w:val="16"/>
              </w:rPr>
              <w:t>議事録の表記に関するご提案3件</w:t>
            </w:r>
          </w:p>
        </w:tc>
        <w:tc>
          <w:tcPr>
            <w:tcW w:type="dxa" w:w="4649"/>
            <w:shd w:val="clear" w:color="auto" w:fill="F2F5FA"/>
            <w:vAlign w:val="center"/>
          </w:tcPr>
          <w:p>
            <w:pPr>
              <w:spacing w:after="0"/>
            </w:pPr>
            <w:r>
              <w:rPr>
                <w:rFonts w:ascii="游ゴシック" w:hAnsi="游ゴシック" w:eastAsia="游ゴシック"/>
                <w:b w:val="0"/>
                <w:sz w:val="16"/>
              </w:rPr>
              <w:t>議事録の表記に関するご提案3件（文のねじれ・並列の「及び」・文体）を本文へ反映した。受領版の表記のままとするご判断であれば戻す</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No.56</w:t>
            </w:r>
          </w:p>
        </w:tc>
        <w:tc>
          <w:tcPr>
            <w:tcW w:type="dxa" w:w="2608"/>
            <w:vAlign w:val="center"/>
          </w:tcPr>
          <w:p>
            <w:pPr>
              <w:spacing w:after="0"/>
            </w:pPr>
            <w:r>
              <w:rPr>
                <w:rFonts w:ascii="游ゴシック" w:hAnsi="游ゴシック" w:eastAsia="游ゴシック"/>
                <w:b w:val="0"/>
                <w:sz w:val="16"/>
              </w:rPr>
              <w:t>令和8年8月31日受領の要介護認定集計帳票6件が他団体のもの</w:t>
            </w:r>
          </w:p>
        </w:tc>
        <w:tc>
          <w:tcPr>
            <w:tcW w:type="dxa" w:w="4649"/>
            <w:vAlign w:val="center"/>
          </w:tcPr>
          <w:p>
            <w:pPr>
              <w:spacing w:after="0"/>
            </w:pPr>
            <w:r>
              <w:rPr>
                <w:rFonts w:ascii="游ゴシック" w:hAnsi="游ゴシック" w:eastAsia="游ゴシック"/>
                <w:b w:val="0"/>
                <w:sz w:val="16"/>
              </w:rPr>
              <w:t>他団体の要介護認定集計帳票6件は成果品に用いず、計画素案その他の成果品に当該団体名は現れない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No.59</w:t>
            </w:r>
          </w:p>
        </w:tc>
        <w:tc>
          <w:tcPr>
            <w:tcW w:type="dxa" w:w="2608"/>
            <w:shd w:val="clear" w:color="auto" w:fill="F2F5FA"/>
            <w:vAlign w:val="center"/>
          </w:tcPr>
          <w:p>
            <w:pPr>
              <w:spacing w:after="0"/>
            </w:pPr>
            <w:r>
              <w:rPr>
                <w:rFonts w:ascii="游ゴシック" w:hAnsi="游ゴシック" w:eastAsia="游ゴシック"/>
                <w:b w:val="0"/>
                <w:sz w:val="16"/>
              </w:rPr>
              <w:t>調整交付金の算定基礎の確認</w:t>
            </w:r>
          </w:p>
        </w:tc>
        <w:tc>
          <w:tcPr>
            <w:tcW w:type="dxa" w:w="4649"/>
            <w:shd w:val="clear" w:color="auto" w:fill="F2F5FA"/>
            <w:vAlign w:val="center"/>
          </w:tcPr>
          <w:p>
            <w:pPr>
              <w:spacing w:after="0"/>
            </w:pPr>
            <w:r>
              <w:rPr>
                <w:rFonts w:ascii="游ゴシック" w:hAnsi="游ゴシック" w:eastAsia="游ゴシック"/>
                <w:b w:val="0"/>
                <w:sz w:val="16"/>
              </w:rPr>
              <w:t>調整交付金の算定基礎は標準給付費見込額と介護予防・日常生活支援総合事業費の合計であり包括的支援事業費及び任意事業費を含まないこと、この扱いにより第9期の公表値と一致することを注に明示した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第6章第6節4</w:t>
            </w:r>
          </w:p>
        </w:tc>
      </w:tr>
      <w:tr>
        <w:trPr>
          <w:cantSplit/>
        </w:trPr>
        <w:tc>
          <w:tcPr>
            <w:tcW w:type="dxa" w:w="794"/>
            <w:vAlign w:val="center"/>
          </w:tcPr>
          <w:p>
            <w:pPr>
              <w:spacing w:after="0"/>
              <w:jc w:val="center"/>
            </w:pPr>
            <w:r>
              <w:rPr>
                <w:rFonts w:ascii="游ゴシック" w:hAnsi="游ゴシック" w:eastAsia="游ゴシック"/>
                <w:b w:val="0"/>
                <w:sz w:val="16"/>
              </w:rPr>
              <w:t>No.61</w:t>
            </w:r>
          </w:p>
        </w:tc>
        <w:tc>
          <w:tcPr>
            <w:tcW w:type="dxa" w:w="2608"/>
            <w:vAlign w:val="center"/>
          </w:tcPr>
          <w:p>
            <w:pPr>
              <w:spacing w:after="0"/>
            </w:pPr>
            <w:r>
              <w:rPr>
                <w:rFonts w:ascii="游ゴシック" w:hAnsi="游ゴシック" w:eastAsia="游ゴシック"/>
                <w:b w:val="0"/>
                <w:sz w:val="16"/>
              </w:rPr>
              <w:t>交付金の評価項目と19施策の割当て</w:t>
            </w:r>
          </w:p>
        </w:tc>
        <w:tc>
          <w:tcPr>
            <w:tcW w:type="dxa" w:w="4649"/>
            <w:vAlign w:val="center"/>
          </w:tcPr>
          <w:p>
            <w:pPr>
              <w:spacing w:after="0"/>
            </w:pPr>
            <w:r>
              <w:rPr>
                <w:rFonts w:ascii="游ゴシック" w:hAnsi="游ゴシック" w:eastAsia="游ゴシック"/>
                <w:b w:val="0"/>
                <w:sz w:val="16"/>
              </w:rPr>
              <w:t>交付金の評価項目と19施策の割当ては当方の案のままとし、計画本文には掲げていない（第9期施策別評価表による）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No.80</w:t>
            </w:r>
          </w:p>
        </w:tc>
        <w:tc>
          <w:tcPr>
            <w:tcW w:type="dxa" w:w="2608"/>
            <w:shd w:val="clear" w:color="auto" w:fill="F2F5FA"/>
            <w:vAlign w:val="center"/>
          </w:tcPr>
          <w:p>
            <w:pPr>
              <w:spacing w:after="0"/>
            </w:pPr>
            <w:r>
              <w:rPr>
                <w:rFonts w:ascii="游ゴシック" w:hAnsi="游ゴシック" w:eastAsia="游ゴシック"/>
                <w:b w:val="0"/>
                <w:sz w:val="16"/>
              </w:rPr>
              <w:t>職員個票のリストによる重複確認の可否</w:t>
            </w:r>
          </w:p>
        </w:tc>
        <w:tc>
          <w:tcPr>
            <w:tcW w:type="dxa" w:w="4649"/>
            <w:shd w:val="clear" w:color="auto" w:fill="F2F5FA"/>
            <w:vAlign w:val="center"/>
          </w:tcPr>
          <w:p>
            <w:pPr>
              <w:spacing w:after="0"/>
            </w:pPr>
            <w:r>
              <w:rPr>
                <w:rFonts w:ascii="游ゴシック" w:hAnsi="游ゴシック" w:eastAsia="游ゴシック"/>
                <w:b w:val="0"/>
                <w:sz w:val="16"/>
              </w:rPr>
              <w:t>重複の判別は職員個票の突合によらず当該事業所への照会により行う（個人情報を保管しない方針による）旨を明示した</w:t>
            </w:r>
          </w:p>
        </w:tc>
        <w:tc>
          <w:tcPr>
            <w:tcW w:type="dxa" w:w="1701"/>
            <w:shd w:val="clear" w:color="auto" w:fill="F2F5FA"/>
            <w:vAlign w:val="center"/>
          </w:tcPr>
          <w:p>
            <w:pPr>
              <w:spacing w:after="0"/>
            </w:pPr>
            <w:r>
              <w:rPr>
                <w:rFonts w:ascii="游ゴシック" w:hAnsi="游ゴシック" w:eastAsia="游ゴシック"/>
                <w:b w:val="0"/>
                <w:sz w:val="16"/>
              </w:rPr>
              <w:t>第2章第6節</w:t>
            </w:r>
          </w:p>
        </w:tc>
      </w:tr>
      <w:tr>
        <w:trPr>
          <w:cantSplit/>
        </w:trPr>
        <w:tc>
          <w:tcPr>
            <w:tcW w:type="dxa" w:w="794"/>
            <w:vAlign w:val="center"/>
          </w:tcPr>
          <w:p>
            <w:pPr>
              <w:spacing w:after="0"/>
              <w:jc w:val="center"/>
            </w:pPr>
            <w:r>
              <w:rPr>
                <w:rFonts w:ascii="游ゴシック" w:hAnsi="游ゴシック" w:eastAsia="游ゴシック"/>
                <w:b w:val="0"/>
                <w:sz w:val="16"/>
              </w:rPr>
              <w:t>No.83</w:t>
            </w:r>
          </w:p>
        </w:tc>
        <w:tc>
          <w:tcPr>
            <w:tcW w:type="dxa" w:w="2608"/>
            <w:vAlign w:val="center"/>
          </w:tcPr>
          <w:p>
            <w:pPr>
              <w:spacing w:after="0"/>
            </w:pPr>
            <w:r>
              <w:rPr>
                <w:rFonts w:ascii="游ゴシック" w:hAnsi="游ゴシック" w:eastAsia="游ゴシック"/>
                <w:b w:val="0"/>
                <w:sz w:val="16"/>
              </w:rPr>
              <w:t>構成町との意見交換会の実施方法と町別データシート</w:t>
            </w:r>
          </w:p>
        </w:tc>
        <w:tc>
          <w:tcPr>
            <w:tcW w:type="dxa" w:w="4649"/>
            <w:vAlign w:val="center"/>
          </w:tcPr>
          <w:p>
            <w:pPr>
              <w:spacing w:after="0"/>
            </w:pPr>
            <w:r>
              <w:rPr>
                <w:rFonts w:ascii="游ゴシック" w:hAnsi="游ゴシック" w:eastAsia="游ゴシック"/>
                <w:b w:val="0"/>
                <w:sz w:val="16"/>
              </w:rPr>
              <w:t>3町合同の意見交換会（10月上旬）と町ごとの個別協議（10月中旬〜下旬）の2段構えで資料を整えた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No.85</w:t>
            </w:r>
          </w:p>
        </w:tc>
        <w:tc>
          <w:tcPr>
            <w:tcW w:type="dxa" w:w="2608"/>
            <w:shd w:val="clear" w:color="auto" w:fill="F2F5FA"/>
            <w:vAlign w:val="center"/>
          </w:tcPr>
          <w:p>
            <w:pPr>
              <w:spacing w:after="0"/>
            </w:pPr>
            <w:r>
              <w:rPr>
                <w:rFonts w:ascii="游ゴシック" w:hAnsi="游ゴシック" w:eastAsia="游ゴシック"/>
                <w:b w:val="0"/>
                <w:sz w:val="16"/>
              </w:rPr>
              <w:t>町別データシートの内容と配付</w:t>
            </w:r>
          </w:p>
        </w:tc>
        <w:tc>
          <w:tcPr>
            <w:tcW w:type="dxa" w:w="4649"/>
            <w:shd w:val="clear" w:color="auto" w:fill="F2F5FA"/>
            <w:vAlign w:val="center"/>
          </w:tcPr>
          <w:p>
            <w:pPr>
              <w:spacing w:after="0"/>
            </w:pPr>
            <w:r>
              <w:rPr>
                <w:rFonts w:ascii="游ゴシック" w:hAnsi="游ゴシック" w:eastAsia="游ゴシック"/>
                <w:b w:val="0"/>
                <w:sz w:val="16"/>
              </w:rPr>
              <w:t>町別データシートは現行の内容のまま配付する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No.60</w:t>
            </w:r>
          </w:p>
        </w:tc>
        <w:tc>
          <w:tcPr>
            <w:tcW w:type="dxa" w:w="2608"/>
            <w:vAlign w:val="center"/>
          </w:tcPr>
          <w:p>
            <w:pPr>
              <w:spacing w:after="0"/>
            </w:pPr>
            <w:r>
              <w:rPr>
                <w:rFonts w:ascii="游ゴシック" w:hAnsi="游ゴシック" w:eastAsia="游ゴシック"/>
                <w:b w:val="0"/>
                <w:sz w:val="16"/>
              </w:rPr>
              <w:t>第10期の保険料算定の前提（受託者案）</w:t>
            </w:r>
          </w:p>
        </w:tc>
        <w:tc>
          <w:tcPr>
            <w:tcW w:type="dxa" w:w="4649"/>
            <w:vAlign w:val="center"/>
          </w:tcPr>
          <w:p>
            <w:pPr>
              <w:spacing w:after="0"/>
            </w:pPr>
            <w:r>
              <w:rPr>
                <w:rFonts w:ascii="游ゴシック" w:hAnsi="游ゴシック" w:eastAsia="游ゴシック"/>
                <w:b w:val="0"/>
                <w:sz w:val="16"/>
              </w:rPr>
              <w:t>単価を令和7年度で固定し、施策反映・給付適正化・基金取崩しを織り込まない置き方であり、算定上の月額基準額は低い側の水準にあることを明示した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No.64</w:t>
            </w:r>
          </w:p>
        </w:tc>
        <w:tc>
          <w:tcPr>
            <w:tcW w:type="dxa" w:w="2608"/>
            <w:shd w:val="clear" w:color="auto" w:fill="F2F5FA"/>
            <w:vAlign w:val="center"/>
          </w:tcPr>
          <w:p>
            <w:pPr>
              <w:spacing w:after="0"/>
            </w:pPr>
            <w:r>
              <w:rPr>
                <w:rFonts w:ascii="游ゴシック" w:hAnsi="游ゴシック" w:eastAsia="游ゴシック"/>
                <w:b w:val="0"/>
                <w:sz w:val="16"/>
              </w:rPr>
              <w:t>区域内に事業所がないサービスの住民向けの記載</w:t>
            </w:r>
          </w:p>
        </w:tc>
        <w:tc>
          <w:tcPr>
            <w:tcW w:type="dxa" w:w="4649"/>
            <w:shd w:val="clear" w:color="auto" w:fill="F2F5FA"/>
            <w:vAlign w:val="center"/>
          </w:tcPr>
          <w:p>
            <w:pPr>
              <w:spacing w:after="0"/>
            </w:pPr>
            <w:r>
              <w:rPr>
                <w:rFonts w:ascii="游ゴシック" w:hAnsi="游ゴシック" w:eastAsia="游ゴシック"/>
                <w:b w:val="0"/>
                <w:sz w:val="16"/>
              </w:rPr>
              <w:t>区域内に事業所がないサービスも区域外の事業所を利用できること、通常の事業の実施地域の外では実費の負担が生じることがあることを住民向けの記載に加えた</w:t>
            </w:r>
          </w:p>
        </w:tc>
        <w:tc>
          <w:tcPr>
            <w:tcW w:type="dxa" w:w="1701"/>
            <w:shd w:val="clear" w:color="auto" w:fill="F2F5FA"/>
            <w:vAlign w:val="center"/>
          </w:tcPr>
          <w:p>
            <w:pPr>
              <w:spacing w:after="0"/>
            </w:pPr>
            <w:r>
              <w:rPr>
                <w:rFonts w:ascii="游ゴシック" w:hAnsi="游ゴシック" w:eastAsia="游ゴシック"/>
                <w:b w:val="0"/>
                <w:sz w:val="16"/>
              </w:rPr>
              <w:t>公表版 参考（介護サービスの内容）</w:t>
            </w:r>
          </w:p>
        </w:tc>
      </w:tr>
      <w:tr>
        <w:trPr>
          <w:cantSplit/>
        </w:trPr>
        <w:tc>
          <w:tcPr>
            <w:tcW w:type="dxa" w:w="794"/>
            <w:vAlign w:val="center"/>
          </w:tcPr>
          <w:p>
            <w:pPr>
              <w:spacing w:after="0"/>
              <w:jc w:val="center"/>
            </w:pPr>
            <w:r>
              <w:rPr>
                <w:rFonts w:ascii="游ゴシック" w:hAnsi="游ゴシック" w:eastAsia="游ゴシック"/>
                <w:b w:val="0"/>
                <w:sz w:val="16"/>
              </w:rPr>
              <w:t>No.69</w:t>
            </w:r>
          </w:p>
        </w:tc>
        <w:tc>
          <w:tcPr>
            <w:tcW w:type="dxa" w:w="2608"/>
            <w:vAlign w:val="center"/>
          </w:tcPr>
          <w:p>
            <w:pPr>
              <w:spacing w:after="0"/>
            </w:pPr>
            <w:r>
              <w:rPr>
                <w:rFonts w:ascii="游ゴシック" w:hAnsi="游ゴシック" w:eastAsia="游ゴシック"/>
                <w:b w:val="0"/>
                <w:sz w:val="16"/>
              </w:rPr>
              <w:t>成果指向型配分枠（令和8年度新設）への対応</w:t>
            </w:r>
          </w:p>
        </w:tc>
        <w:tc>
          <w:tcPr>
            <w:tcW w:type="dxa" w:w="4649"/>
            <w:vAlign w:val="center"/>
          </w:tcPr>
          <w:p>
            <w:pPr>
              <w:spacing w:after="0"/>
            </w:pPr>
            <w:r>
              <w:rPr>
                <w:rFonts w:ascii="游ゴシック" w:hAnsi="游ゴシック" w:eastAsia="游ゴシック"/>
                <w:b w:val="0"/>
                <w:sz w:val="16"/>
              </w:rPr>
              <w:t>成果指向型配分枠は構成3町の回答の状況を確認できていないため第10期の施策に位置づけず、確認できた時点で判断する旨を注に明示した</w:t>
            </w:r>
          </w:p>
        </w:tc>
        <w:tc>
          <w:tcPr>
            <w:tcW w:type="dxa" w:w="1701"/>
            <w:vAlign w:val="center"/>
          </w:tcPr>
          <w:p>
            <w:pPr>
              <w:spacing w:after="0"/>
            </w:pPr>
            <w:r>
              <w:rPr>
                <w:rFonts w:ascii="游ゴシック" w:hAnsi="游ゴシック" w:eastAsia="游ゴシック"/>
                <w:b w:val="0"/>
                <w:sz w:val="16"/>
              </w:rPr>
              <w:t>第3章第4節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No.89</w:t>
            </w:r>
          </w:p>
        </w:tc>
        <w:tc>
          <w:tcPr>
            <w:tcW w:type="dxa" w:w="2608"/>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社会福祉法等の一部を改正する法律（令和8年法律第51号）の反映</w:t>
            </w:r>
          </w:p>
        </w:tc>
        <w:tc>
          <w:tcPr>
            <w:tcW w:type="dxa" w:w="4649"/>
            <w:shd w:val="clear" w:color="auto" w:fill="F2F5FA"/>
            <w:vAlign w:val="center"/>
          </w:tcPr>
          <w:p>
            <w:pPr>
              <w:spacing w:after="0"/>
            </w:pPr>
            <w:r>
              <w:rPr>
                <w:rFonts w:ascii="游ゴシック" w:hAnsi="游ゴシック" w:eastAsia="游ゴシック"/>
                <w:b w:val="0"/>
                <w:sz w:val="16"/>
              </w:rPr>
              <w:t>社会福祉法等の一部を改正する法律（令和8年法律第51号）の7件の整理のまま進め、政令・省令・報酬改定の公表後に再照合する</w:t>
            </w:r>
          </w:p>
        </w:tc>
        <w:tc>
          <w:tcPr>
            <w:tcW w:type="dxa" w:w="1701"/>
            <w:shd w:val="clear" w:color="auto" w:fill="F2F5FA"/>
            <w:vAlign w:val="center"/>
          </w:tcPr>
          <w:p>
            <w:pPr>
              <w:spacing w:after="0"/>
            </w:pPr>
            <w:r>
              <w:rPr>
                <w:rFonts w:ascii="游ゴシック" w:hAnsi="游ゴシック" w:eastAsia="游ゴシック"/>
                <w:b w:val="0"/>
                <w:sz w:val="16"/>
              </w:rPr>
              <w:t>第1章第9節2</w:t>
            </w:r>
          </w:p>
        </w:tc>
      </w:tr>
      <w:tr>
        <w:trPr>
          <w:cantSplit/>
        </w:trPr>
        <w:tc>
          <w:tcPr>
            <w:tcW w:type="dxa" w:w="794"/>
            <w:vAlign w:val="center"/>
          </w:tcPr>
          <w:p>
            <w:pPr>
              <w:spacing w:after="0"/>
              <w:jc w:val="center"/>
            </w:pPr>
            <w:r>
              <w:rPr>
                <w:rFonts w:ascii="游ゴシック" w:hAnsi="游ゴシック" w:eastAsia="游ゴシック"/>
                <w:b w:val="0"/>
                <w:sz w:val="16"/>
              </w:rPr>
              <w:t>No.117</w:t>
            </w:r>
          </w:p>
        </w:tc>
        <w:tc>
          <w:tcPr>
            <w:tcW w:type="dxa" w:w="2608"/>
            <w:vAlign w:val="center"/>
          </w:tcPr>
          <w:p>
            <w:pPr>
              <w:spacing w:after="0"/>
            </w:pPr>
            <w:r>
              <w:rPr>
                <w:rFonts w:ascii="游ゴシック" w:hAnsi="游ゴシック" w:eastAsia="游ゴシック"/>
                <w:b w:val="0"/>
                <w:sz w:val="16"/>
              </w:rPr>
              <w:t>成果品の統合の方針</w:t>
            </w:r>
          </w:p>
        </w:tc>
        <w:tc>
          <w:tcPr>
            <w:tcW w:type="dxa" w:w="4649"/>
            <w:vAlign w:val="center"/>
          </w:tcPr>
          <w:p>
            <w:pPr>
              <w:spacing w:after="0"/>
            </w:pPr>
            <w:r>
              <w:rPr>
                <w:rFonts w:ascii="游ゴシック" w:hAnsi="游ゴシック" w:eastAsia="游ゴシック"/>
                <w:b w:val="0"/>
                <w:sz w:val="16"/>
              </w:rPr>
              <w:t>見込量算定の4成果品を統合報告書に束ね、元の4件も残す現行の方針のままとした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No.138</w:t>
            </w:r>
          </w:p>
        </w:tc>
        <w:tc>
          <w:tcPr>
            <w:tcW w:type="dxa" w:w="2608"/>
            <w:shd w:val="clear" w:color="auto" w:fill="F2F5FA"/>
            <w:vAlign w:val="center"/>
          </w:tcPr>
          <w:p>
            <w:pPr>
              <w:spacing w:after="0"/>
            </w:pPr>
            <w:r>
              <w:rPr>
                <w:rFonts w:ascii="游ゴシック" w:hAnsi="游ゴシック" w:eastAsia="游ゴシック"/>
                <w:b w:val="0"/>
                <w:sz w:val="16"/>
              </w:rPr>
              <w:t>認定者数の実績見込み値を編集する項目が画面にあるか</w:t>
            </w:r>
          </w:p>
        </w:tc>
        <w:tc>
          <w:tcPr>
            <w:tcW w:type="dxa" w:w="4649"/>
            <w:shd w:val="clear" w:color="auto" w:fill="F2F5FA"/>
            <w:vAlign w:val="center"/>
          </w:tcPr>
          <w:p>
            <w:pPr>
              <w:spacing w:after="0"/>
            </w:pPr>
            <w:r>
              <w:rPr>
                <w:rFonts w:ascii="游ゴシック" w:hAnsi="游ゴシック" w:eastAsia="游ゴシック"/>
                <w:b w:val="0"/>
                <w:sz w:val="16"/>
              </w:rPr>
              <w:t>認定者数の実績見込み値を編集する項目がないものとして、認定率の伸びに「令和6年度→令和7年度の伸び」を選ぶ入力案とした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No.139</w:t>
            </w:r>
          </w:p>
        </w:tc>
        <w:tc>
          <w:tcPr>
            <w:tcW w:type="dxa" w:w="2608"/>
            <w:vAlign w:val="center"/>
          </w:tcPr>
          <w:p>
            <w:pPr>
              <w:spacing w:after="0"/>
            </w:pPr>
            <w:r>
              <w:rPr>
                <w:rFonts w:ascii="游ゴシック" w:hAnsi="游ゴシック" w:eastAsia="游ゴシック"/>
                <w:b w:val="0"/>
                <w:sz w:val="16"/>
              </w:rPr>
              <w:t>健康とくらしの調査の個票の再提供の要否</w:t>
            </w:r>
          </w:p>
        </w:tc>
        <w:tc>
          <w:tcPr>
            <w:tcW w:type="dxa" w:w="4649"/>
            <w:vAlign w:val="center"/>
          </w:tcPr>
          <w:p>
            <w:pPr>
              <w:spacing w:after="0"/>
            </w:pPr>
            <w:r>
              <w:rPr>
                <w:rFonts w:ascii="游ゴシック" w:hAnsi="游ゴシック" w:eastAsia="游ゴシック"/>
                <w:b w:val="0"/>
                <w:sz w:val="16"/>
              </w:rPr>
              <w:t>健康とくらしの調査の個票の再提供は依頼しない（成果品は収録済みで内容が確定しており不足がない）</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No.148</w:t>
            </w:r>
          </w:p>
        </w:tc>
        <w:tc>
          <w:tcPr>
            <w:tcW w:type="dxa" w:w="2608"/>
            <w:shd w:val="clear" w:color="auto" w:fill="F2F5FA"/>
            <w:vAlign w:val="center"/>
          </w:tcPr>
          <w:p>
            <w:pPr>
              <w:spacing w:after="0"/>
            </w:pPr>
            <w:r>
              <w:rPr>
                <w:rFonts w:ascii="游ゴシック" w:hAnsi="游ゴシック" w:eastAsia="游ゴシック"/>
                <w:b w:val="0"/>
                <w:sz w:val="16"/>
              </w:rPr>
              <w:t>見える化システムの操作手引・認証後画面の写しのご提供</w:t>
            </w:r>
          </w:p>
        </w:tc>
        <w:tc>
          <w:tcPr>
            <w:tcW w:type="dxa" w:w="4649"/>
            <w:shd w:val="clear" w:color="auto" w:fill="F2F5FA"/>
            <w:vAlign w:val="center"/>
          </w:tcPr>
          <w:p>
            <w:pPr>
              <w:spacing w:after="0"/>
            </w:pPr>
            <w:r>
              <w:rPr>
                <w:rFonts w:ascii="游ゴシック" w:hAnsi="游ゴシック" w:eastAsia="游ゴシック"/>
                <w:b w:val="0"/>
                <w:sz w:val="16"/>
              </w:rPr>
              <w:t>受領済みの画面の写しの範囲で入力値を示し、操作手引により確認できていない項目はその旨を明記した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No.90</w:t>
            </w:r>
          </w:p>
        </w:tc>
        <w:tc>
          <w:tcPr>
            <w:tcW w:type="dxa" w:w="2608"/>
            <w:vAlign w:val="center"/>
          </w:tcPr>
          <w:p>
            <w:pPr>
              <w:spacing w:after="0"/>
            </w:pPr>
            <w:r>
              <w:rPr>
                <w:rFonts w:ascii="游ゴシック" w:hAnsi="游ゴシック" w:eastAsia="游ゴシック"/>
                <w:b w:val="0"/>
                <w:sz w:val="16"/>
              </w:rPr>
              <w:t>第9期計画の本文（電子データ）及び前回調査の原集計表の提供</w:t>
            </w:r>
          </w:p>
        </w:tc>
        <w:tc>
          <w:tcPr>
            <w:tcW w:type="dxa" w:w="4649"/>
            <w:vAlign w:val="center"/>
          </w:tcPr>
          <w:p>
            <w:pPr>
              <w:spacing w:after="0"/>
            </w:pPr>
            <w:r>
              <w:rPr>
                <w:rFonts w:ascii="游ゴシック" w:hAnsi="游ゴシック" w:eastAsia="游ゴシック"/>
                <w:b w:val="0"/>
                <w:sz w:val="16"/>
              </w:rPr>
              <w:t>前回調査との比較は割合のみとし、指標別の分母を第9期計画の本文から確認できない旨を注に明示した</w:t>
            </w:r>
          </w:p>
        </w:tc>
        <w:tc>
          <w:tcPr>
            <w:tcW w:type="dxa" w:w="1701"/>
            <w:vAlign w:val="center"/>
          </w:tcPr>
          <w:p>
            <w:pPr>
              <w:spacing w:after="0"/>
            </w:pPr>
            <w:r>
              <w:rPr>
                <w:rFonts w:ascii="游ゴシック" w:hAnsi="游ゴシック" w:eastAsia="游ゴシック"/>
                <w:b w:val="0"/>
                <w:sz w:val="16"/>
              </w:rPr>
              <w:t>第2章第4節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No.91</w:t>
            </w:r>
          </w:p>
        </w:tc>
        <w:tc>
          <w:tcPr>
            <w:tcW w:type="dxa" w:w="2608"/>
            <w:shd w:val="clear" w:color="auto" w:fill="F2F5FA"/>
            <w:vAlign w:val="center"/>
          </w:tcPr>
          <w:p>
            <w:pPr>
              <w:spacing w:after="0"/>
            </w:pPr>
            <w:r>
              <w:rPr>
                <w:rFonts w:ascii="游ゴシック" w:hAnsi="游ゴシック" w:eastAsia="游ゴシック"/>
                <w:b w:val="0"/>
                <w:sz w:val="16"/>
              </w:rPr>
              <w:t>介護給付費通知及び給付実績の活用による確認等</w:t>
            </w:r>
          </w:p>
        </w:tc>
        <w:tc>
          <w:tcPr>
            <w:tcW w:type="dxa" w:w="4649"/>
            <w:shd w:val="clear" w:color="auto" w:fill="F2F5FA"/>
            <w:vAlign w:val="center"/>
          </w:tcPr>
          <w:p>
            <w:pPr>
              <w:spacing w:after="0"/>
            </w:pPr>
            <w:r>
              <w:rPr>
                <w:rFonts w:ascii="游ゴシック" w:hAnsi="游ゴシック" w:eastAsia="游ゴシック"/>
                <w:b w:val="0"/>
                <w:sz w:val="16"/>
              </w:rPr>
              <w:t>給付実績の活用による確認等及び介護給付費通知は、実施の状況を確認したうえで第10期の実施の方針を定めることとし、現行の取組のまま位置づけた</w:t>
            </w:r>
          </w:p>
        </w:tc>
        <w:tc>
          <w:tcPr>
            <w:tcW w:type="dxa" w:w="1701"/>
            <w:shd w:val="clear" w:color="auto" w:fill="F2F5FA"/>
            <w:vAlign w:val="center"/>
          </w:tcPr>
          <w:p>
            <w:pPr>
              <w:spacing w:after="0"/>
            </w:pPr>
            <w:r>
              <w:rPr>
                <w:rFonts w:ascii="游ゴシック" w:hAnsi="游ゴシック" w:eastAsia="游ゴシック"/>
                <w:b w:val="0"/>
                <w:sz w:val="16"/>
              </w:rPr>
              <w:t>第5章 基本目標5</w:t>
            </w:r>
          </w:p>
        </w:tc>
      </w:tr>
      <w:tr>
        <w:trPr>
          <w:cantSplit/>
        </w:trPr>
        <w:tc>
          <w:tcPr>
            <w:tcW w:type="dxa" w:w="794"/>
            <w:vAlign w:val="center"/>
          </w:tcPr>
          <w:p>
            <w:pPr>
              <w:spacing w:after="0"/>
              <w:jc w:val="center"/>
            </w:pPr>
            <w:r>
              <w:rPr>
                <w:rFonts w:ascii="游ゴシック" w:hAnsi="游ゴシック" w:eastAsia="游ゴシック"/>
                <w:b w:val="0"/>
                <w:sz w:val="16"/>
              </w:rPr>
              <w:t>No.92</w:t>
            </w:r>
          </w:p>
        </w:tc>
        <w:tc>
          <w:tcPr>
            <w:tcW w:type="dxa" w:w="2608"/>
            <w:vAlign w:val="center"/>
          </w:tcPr>
          <w:p>
            <w:pPr>
              <w:spacing w:after="0"/>
            </w:pPr>
            <w:r>
              <w:rPr>
                <w:rFonts w:ascii="游ゴシック" w:hAnsi="游ゴシック" w:eastAsia="游ゴシック"/>
                <w:b w:val="0"/>
                <w:sz w:val="16"/>
              </w:rPr>
              <w:t>認定調査の指定居宅介護支援事業所等への委託の状況</w:t>
            </w:r>
          </w:p>
        </w:tc>
        <w:tc>
          <w:tcPr>
            <w:tcW w:type="dxa" w:w="4649"/>
            <w:vAlign w:val="center"/>
          </w:tcPr>
          <w:p>
            <w:pPr>
              <w:spacing w:after="0"/>
            </w:pPr>
            <w:r>
              <w:rPr>
                <w:rFonts w:ascii="游ゴシック" w:hAnsi="游ゴシック" w:eastAsia="游ゴシック"/>
                <w:b w:val="0"/>
                <w:sz w:val="16"/>
              </w:rPr>
              <w:t>認定調査の点検件数は、指定居宅介護支援事業所等への委託の状況を確認したうえで定める旨を注に明示した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No.97</w:t>
            </w:r>
          </w:p>
        </w:tc>
        <w:tc>
          <w:tcPr>
            <w:tcW w:type="dxa" w:w="2608"/>
            <w:shd w:val="clear" w:color="auto" w:fill="F2F5FA"/>
            <w:vAlign w:val="center"/>
          </w:tcPr>
          <w:p>
            <w:pPr>
              <w:spacing w:after="0"/>
            </w:pPr>
            <w:r>
              <w:rPr>
                <w:rFonts w:ascii="游ゴシック" w:hAnsi="游ゴシック" w:eastAsia="游ゴシック"/>
                <w:b w:val="0"/>
                <w:sz w:val="16"/>
              </w:rPr>
              <w:t>令和9年4月1日から義務となる2件への対応</w:t>
            </w:r>
          </w:p>
        </w:tc>
        <w:tc>
          <w:tcPr>
            <w:tcW w:type="dxa" w:w="4649"/>
            <w:shd w:val="clear" w:color="auto" w:fill="F2F5FA"/>
            <w:vAlign w:val="center"/>
          </w:tcPr>
          <w:p>
            <w:pPr>
              <w:spacing w:after="0"/>
            </w:pPr>
            <w:r>
              <w:rPr>
                <w:rFonts w:ascii="游ゴシック" w:hAnsi="游ゴシック" w:eastAsia="游ゴシック"/>
                <w:b w:val="0"/>
                <w:sz w:val="16"/>
              </w:rPr>
              <w:t>条例の対応規定を確認していないため、省令の定めと対象事業所数（協力医療機関10事業所・生産性向上の取組に係る委員会15事業所）を示すにとどめた</w:t>
            </w:r>
          </w:p>
        </w:tc>
        <w:tc>
          <w:tcPr>
            <w:tcW w:type="dxa" w:w="1701"/>
            <w:shd w:val="clear" w:color="auto" w:fill="F2F5FA"/>
            <w:vAlign w:val="center"/>
          </w:tcPr>
          <w:p>
            <w:pPr>
              <w:spacing w:after="0"/>
            </w:pPr>
            <w:r>
              <w:rPr>
                <w:rFonts w:ascii="游ゴシック" w:hAnsi="游ゴシック" w:eastAsia="游ゴシック"/>
                <w:b w:val="0"/>
                <w:sz w:val="16"/>
              </w:rPr>
              <w:t>第1章第9節1</w:t>
            </w:r>
          </w:p>
        </w:tc>
      </w:tr>
      <w:tr>
        <w:trPr>
          <w:cantSplit/>
        </w:trPr>
        <w:tc>
          <w:tcPr>
            <w:tcW w:type="dxa" w:w="794"/>
            <w:vAlign w:val="center"/>
          </w:tcPr>
          <w:p>
            <w:pPr>
              <w:spacing w:after="0"/>
              <w:jc w:val="center"/>
            </w:pPr>
            <w:r>
              <w:rPr>
                <w:rFonts w:ascii="游ゴシック" w:hAnsi="游ゴシック" w:eastAsia="游ゴシック"/>
                <w:b w:val="0"/>
                <w:sz w:val="16"/>
              </w:rPr>
              <w:t>No.99</w:t>
            </w:r>
          </w:p>
        </w:tc>
        <w:tc>
          <w:tcPr>
            <w:tcW w:type="dxa" w:w="2608"/>
            <w:vAlign w:val="center"/>
          </w:tcPr>
          <w:p>
            <w:pPr>
              <w:spacing w:after="0"/>
            </w:pPr>
            <w:r>
              <w:rPr>
                <w:rFonts w:ascii="游ゴシック" w:hAnsi="游ゴシック" w:eastAsia="游ゴシック"/>
                <w:b w:val="0"/>
                <w:sz w:val="16"/>
              </w:rPr>
              <w:t>過疎地域における小規模多機能型居宅介護の定員超過の特例の取扱い</w:t>
            </w:r>
          </w:p>
        </w:tc>
        <w:tc>
          <w:tcPr>
            <w:tcW w:type="dxa" w:w="4649"/>
            <w:vAlign w:val="center"/>
          </w:tcPr>
          <w:p>
            <w:pPr>
              <w:spacing w:after="0"/>
            </w:pPr>
            <w:r>
              <w:rPr>
                <w:rFonts w:ascii="游ゴシック" w:hAnsi="游ゴシック" w:eastAsia="游ゴシック"/>
                <w:b w:val="0"/>
                <w:sz w:val="16"/>
              </w:rPr>
              <w:t>過疎地域における小規模多機能型居宅介護の登録定員の超過の特例を用いずに見込量を算定している旨を注に明示した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No.108</w:t>
            </w:r>
          </w:p>
        </w:tc>
        <w:tc>
          <w:tcPr>
            <w:tcW w:type="dxa" w:w="2608"/>
            <w:shd w:val="clear" w:color="auto" w:fill="F2F5FA"/>
            <w:vAlign w:val="center"/>
          </w:tcPr>
          <w:p>
            <w:pPr>
              <w:spacing w:after="0"/>
            </w:pPr>
            <w:r>
              <w:rPr>
                <w:rFonts w:ascii="游ゴシック" w:hAnsi="游ゴシック" w:eastAsia="游ゴシック"/>
                <w:b w:val="0"/>
                <w:sz w:val="16"/>
              </w:rPr>
              <w:t>補正しても外れるサービス6件の理由</w:t>
            </w:r>
          </w:p>
        </w:tc>
        <w:tc>
          <w:tcPr>
            <w:tcW w:type="dxa" w:w="4649"/>
            <w:shd w:val="clear" w:color="auto" w:fill="F2F5FA"/>
            <w:vAlign w:val="center"/>
          </w:tcPr>
          <w:p>
            <w:pPr>
              <w:spacing w:after="0"/>
            </w:pPr>
            <w:r>
              <w:rPr>
                <w:rFonts w:ascii="游ゴシック" w:hAnsi="游ゴシック" w:eastAsia="游ゴシック"/>
                <w:b w:val="0"/>
                <w:sz w:val="16"/>
              </w:rPr>
              <w:t>補正を行っても開きが残る6種別は趨勢の置き方によるものではなく供給の状況又は制度の区分によるものであり、第4節の整備方針及び確保方策において扱う旨を注に明示した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No.111</w:t>
            </w:r>
          </w:p>
        </w:tc>
        <w:tc>
          <w:tcPr>
            <w:tcW w:type="dxa" w:w="2608"/>
            <w:vAlign w:val="center"/>
          </w:tcPr>
          <w:p>
            <w:pPr>
              <w:spacing w:after="0"/>
            </w:pPr>
            <w:r>
              <w:rPr>
                <w:rFonts w:ascii="游ゴシック" w:hAnsi="游ゴシック" w:eastAsia="游ゴシック"/>
                <w:b w:val="0"/>
                <w:sz w:val="16"/>
              </w:rPr>
              <w:t>過年度の趨勢に現れない要因の扱い（認知症施策・高齢者向け住まいほか）</w:t>
            </w:r>
          </w:p>
        </w:tc>
        <w:tc>
          <w:tcPr>
            <w:tcW w:type="dxa" w:w="4649"/>
            <w:vAlign w:val="center"/>
          </w:tcPr>
          <w:p>
            <w:pPr>
              <w:spacing w:after="0"/>
            </w:pPr>
            <w:r>
              <w:rPr>
                <w:rFonts w:ascii="游ゴシック" w:hAnsi="游ゴシック" w:eastAsia="游ゴシック"/>
                <w:b w:val="0"/>
                <w:sz w:val="16"/>
              </w:rPr>
              <w:t>趨勢に現れない要因は給付費を増やす向きか減らす向きかを記すにとどめ、数値には織り込んでいない旨を注に明示した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No.118</w:t>
            </w:r>
          </w:p>
        </w:tc>
        <w:tc>
          <w:tcPr>
            <w:tcW w:type="dxa" w:w="2608"/>
            <w:shd w:val="clear" w:color="auto" w:fill="F2F5FA"/>
            <w:vAlign w:val="center"/>
          </w:tcPr>
          <w:p>
            <w:pPr>
              <w:spacing w:after="0"/>
            </w:pPr>
            <w:r>
              <w:rPr>
                <w:rFonts w:ascii="游ゴシック" w:hAnsi="游ゴシック" w:eastAsia="游ゴシック"/>
                <w:b w:val="0"/>
                <w:sz w:val="16"/>
              </w:rPr>
              <w:t>施策2-5の代表KPIを「施策化への転換率」とするか</w:t>
            </w:r>
          </w:p>
        </w:tc>
        <w:tc>
          <w:tcPr>
            <w:tcW w:type="dxa" w:w="4649"/>
            <w:shd w:val="clear" w:color="auto" w:fill="F2F5FA"/>
            <w:vAlign w:val="center"/>
          </w:tcPr>
          <w:p>
            <w:pPr>
              <w:spacing w:after="0"/>
            </w:pPr>
            <w:r>
              <w:rPr>
                <w:rFonts w:ascii="游ゴシック" w:hAnsi="游ゴシック" w:eastAsia="游ゴシック"/>
                <w:b w:val="0"/>
                <w:sz w:val="16"/>
              </w:rPr>
              <w:t>地域ケア会議の指標に施策化への転換率を加え、令和9年度に基準値を把握し令和10年度から目標値を置くこと、率とともに実数を併記すること、記録は3町が作成し集計値を提出することを明示した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No.119</w:t>
            </w:r>
          </w:p>
        </w:tc>
        <w:tc>
          <w:tcPr>
            <w:tcW w:type="dxa" w:w="2608"/>
            <w:vAlign w:val="center"/>
          </w:tcPr>
          <w:p>
            <w:pPr>
              <w:spacing w:after="0"/>
            </w:pPr>
            <w:r>
              <w:rPr>
                <w:rFonts w:ascii="游ゴシック" w:hAnsi="游ゴシック" w:eastAsia="游ゴシック"/>
                <w:b w:val="0"/>
                <w:sz w:val="16"/>
              </w:rPr>
              <w:t>地域ケア会議の3町共通の記録様式を整えてよいか</w:t>
            </w:r>
          </w:p>
        </w:tc>
        <w:tc>
          <w:tcPr>
            <w:tcW w:type="dxa" w:w="4649"/>
            <w:vAlign w:val="center"/>
          </w:tcPr>
          <w:p>
            <w:pPr>
              <w:spacing w:after="0"/>
            </w:pPr>
            <w:r>
              <w:rPr>
                <w:rFonts w:ascii="游ゴシック" w:hAnsi="游ゴシック" w:eastAsia="游ゴシック"/>
                <w:b w:val="0"/>
                <w:sz w:val="16"/>
              </w:rPr>
              <w:t>3町共通の記録様式は令和9年度に整えることとし、様式そのものは協議資料にとどめた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No.120</w:t>
            </w:r>
          </w:p>
        </w:tc>
        <w:tc>
          <w:tcPr>
            <w:tcW w:type="dxa" w:w="2608"/>
            <w:shd w:val="clear" w:color="auto" w:fill="F2F5FA"/>
            <w:vAlign w:val="center"/>
          </w:tcPr>
          <w:p>
            <w:pPr>
              <w:spacing w:after="0"/>
            </w:pPr>
            <w:r>
              <w:rPr>
                <w:rFonts w:ascii="游ゴシック" w:hAnsi="游ゴシック" w:eastAsia="游ゴシック"/>
                <w:b w:val="0"/>
                <w:sz w:val="16"/>
              </w:rPr>
              <w:t>地域ケア個別会議と地域ケア推進会議を分けて計数するか</w:t>
            </w:r>
          </w:p>
        </w:tc>
        <w:tc>
          <w:tcPr>
            <w:tcW w:type="dxa" w:w="4649"/>
            <w:shd w:val="clear" w:color="auto" w:fill="F2F5FA"/>
            <w:vAlign w:val="center"/>
          </w:tcPr>
          <w:p>
            <w:pPr>
              <w:spacing w:after="0"/>
            </w:pPr>
            <w:r>
              <w:rPr>
                <w:rFonts w:ascii="游ゴシック" w:hAnsi="游ゴシック" w:eastAsia="游ゴシック"/>
                <w:b w:val="0"/>
                <w:sz w:val="16"/>
              </w:rPr>
              <w:t>件数は地域ケア個別会議と地域ケア推進会議を分けずに計数する旨を注に明示した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No.121</w:t>
            </w:r>
          </w:p>
        </w:tc>
        <w:tc>
          <w:tcPr>
            <w:tcW w:type="dxa" w:w="2608"/>
            <w:vAlign w:val="center"/>
          </w:tcPr>
          <w:p>
            <w:pPr>
              <w:spacing w:after="0"/>
            </w:pPr>
            <w:r>
              <w:rPr>
                <w:rFonts w:ascii="游ゴシック" w:hAnsi="游ゴシック" w:eastAsia="游ゴシック"/>
                <w:b w:val="0"/>
                <w:sz w:val="16"/>
              </w:rPr>
              <w:t>3町の地域ケア会議の実績（令和6〜8年度）のご提供</w:t>
            </w:r>
          </w:p>
        </w:tc>
        <w:tc>
          <w:tcPr>
            <w:tcW w:type="dxa" w:w="4649"/>
            <w:vAlign w:val="center"/>
          </w:tcPr>
          <w:p>
            <w:pPr>
              <w:spacing w:after="0"/>
            </w:pPr>
            <w:r>
              <w:rPr>
                <w:rFonts w:ascii="游ゴシック" w:hAnsi="游ゴシック" w:eastAsia="游ゴシック"/>
                <w:b w:val="0"/>
                <w:sz w:val="16"/>
              </w:rPr>
              <w:t>3町の実績は令和7年度の地域包括支援センター事業実施報告書により把握できる範囲で記述し、計数の単位が町により異なるため3町を合計できない旨を注に明示した</w:t>
            </w:r>
          </w:p>
        </w:tc>
        <w:tc>
          <w:tcPr>
            <w:tcW w:type="dxa" w:w="1701"/>
            <w:vAlign w:val="center"/>
          </w:tcPr>
          <w:p>
            <w:pPr>
              <w:spacing w:after="0"/>
            </w:pPr>
            <w:r>
              <w:rPr>
                <w:rFonts w:ascii="游ゴシック" w:hAnsi="游ゴシック" w:eastAsia="游ゴシック"/>
                <w:b w:val="0"/>
                <w:sz w:val="16"/>
              </w:rPr>
              <w:t>第5章 基本目標1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No.125</w:t>
            </w:r>
          </w:p>
        </w:tc>
        <w:tc>
          <w:tcPr>
            <w:tcW w:type="dxa" w:w="2608"/>
            <w:shd w:val="clear" w:color="auto" w:fill="F2F5FA"/>
            <w:vAlign w:val="center"/>
          </w:tcPr>
          <w:p>
            <w:pPr>
              <w:spacing w:after="0"/>
            </w:pPr>
            <w:r>
              <w:rPr>
                <w:rFonts w:ascii="游ゴシック" w:hAnsi="游ゴシック" w:eastAsia="游ゴシック"/>
                <w:b w:val="0"/>
                <w:sz w:val="16"/>
              </w:rPr>
              <w:t>将来推計の参考シートの認定率が総括表の認定率と一致しないこと</w:t>
            </w:r>
          </w:p>
        </w:tc>
        <w:tc>
          <w:tcPr>
            <w:tcW w:type="dxa" w:w="4649"/>
            <w:shd w:val="clear" w:color="auto" w:fill="F2F5FA"/>
            <w:vAlign w:val="center"/>
          </w:tcPr>
          <w:p>
            <w:pPr>
              <w:spacing w:after="0"/>
            </w:pPr>
            <w:r>
              <w:rPr>
                <w:rFonts w:ascii="游ゴシック" w:hAnsi="游ゴシック" w:eastAsia="游ゴシック"/>
                <w:b w:val="0"/>
                <w:sz w:val="16"/>
              </w:rPr>
              <w:t>認定率は年報（各年度末現在）によることとし、総括表（各年9月末現在）及び将来推計の参考シートの値との違いが時点等によるものである旨を注に明示した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No.127</w:t>
            </w:r>
          </w:p>
        </w:tc>
        <w:tc>
          <w:tcPr>
            <w:tcW w:type="dxa" w:w="2608"/>
            <w:vAlign w:val="center"/>
          </w:tcPr>
          <w:p>
            <w:pPr>
              <w:spacing w:after="0"/>
            </w:pPr>
            <w:r>
              <w:rPr>
                <w:rFonts w:ascii="游ゴシック" w:hAnsi="游ゴシック" w:eastAsia="游ゴシック"/>
                <w:b w:val="0"/>
                <w:sz w:val="16"/>
              </w:rPr>
              <w:t>見える化システムの総人口の設定を案Cに改めるか</w:t>
            </w:r>
          </w:p>
        </w:tc>
        <w:tc>
          <w:tcPr>
            <w:tcW w:type="dxa" w:w="4649"/>
            <w:vAlign w:val="center"/>
          </w:tcPr>
          <w:p>
            <w:pPr>
              <w:spacing w:after="0"/>
            </w:pPr>
            <w:r>
              <w:rPr>
                <w:rFonts w:ascii="游ゴシック" w:hAnsi="游ゴシック" w:eastAsia="游ゴシック"/>
                <w:b w:val="0"/>
                <w:sz w:val="16"/>
              </w:rPr>
              <w:t>人口の基礎は案C（地方創生総合戦略と住民基本台帳の実績趨勢）により、社人研の推計による場合との差を対比して掲げた</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No.133</w:t>
            </w:r>
          </w:p>
        </w:tc>
        <w:tc>
          <w:tcPr>
            <w:tcW w:type="dxa" w:w="2608"/>
            <w:shd w:val="clear" w:color="auto" w:fill="F2F5FA"/>
            <w:vAlign w:val="center"/>
          </w:tcPr>
          <w:p>
            <w:pPr>
              <w:spacing w:after="0"/>
            </w:pPr>
            <w:r>
              <w:rPr>
                <w:rFonts w:ascii="游ゴシック" w:hAnsi="游ゴシック" w:eastAsia="游ゴシック"/>
                <w:b w:val="0"/>
                <w:sz w:val="16"/>
              </w:rPr>
              <w:t>介護老人保健施設の令和8年度の減少をどう見るか</w:t>
            </w:r>
          </w:p>
        </w:tc>
        <w:tc>
          <w:tcPr>
            <w:tcW w:type="dxa" w:w="4649"/>
            <w:shd w:val="clear" w:color="auto" w:fill="F2F5FA"/>
            <w:vAlign w:val="center"/>
          </w:tcPr>
          <w:p>
            <w:pPr>
              <w:spacing w:after="0"/>
            </w:pPr>
            <w:r>
              <w:rPr>
                <w:rFonts w:ascii="游ゴシック" w:hAnsi="游ゴシック" w:eastAsia="游ゴシック"/>
                <w:b w:val="0"/>
                <w:sz w:val="16"/>
              </w:rPr>
              <w:t>介護老人保健施設の令和8年度（4か月）の減少を将来へ延長していない旨を注に明示した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No.136</w:t>
            </w:r>
          </w:p>
        </w:tc>
        <w:tc>
          <w:tcPr>
            <w:tcW w:type="dxa" w:w="2608"/>
            <w:vAlign w:val="center"/>
          </w:tcPr>
          <w:p>
            <w:pPr>
              <w:spacing w:after="0"/>
            </w:pPr>
            <w:r>
              <w:rPr>
                <w:rFonts w:ascii="游ゴシック" w:hAnsi="游ゴシック" w:eastAsia="游ゴシック"/>
                <w:b w:val="0"/>
                <w:sz w:val="16"/>
              </w:rPr>
              <w:t>画面の令和7年度と年報の月平均の食い違い</w:t>
            </w:r>
          </w:p>
        </w:tc>
        <w:tc>
          <w:tcPr>
            <w:tcW w:type="dxa" w:w="4649"/>
            <w:vAlign w:val="center"/>
          </w:tcPr>
          <w:p>
            <w:pPr>
              <w:spacing w:after="0"/>
            </w:pPr>
            <w:r>
              <w:rPr>
                <w:rFonts w:ascii="游ゴシック" w:hAnsi="游ゴシック" w:eastAsia="游ゴシック"/>
                <w:b w:val="0"/>
                <w:sz w:val="16"/>
              </w:rPr>
              <w:t>実績は年報（保険者単位）によることとし、見える化システムの画面が表示する令和7年度の値と一部の区分で食い違う旨を注に明示した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No.143</w:t>
            </w:r>
          </w:p>
        </w:tc>
        <w:tc>
          <w:tcPr>
            <w:tcW w:type="dxa" w:w="2608"/>
            <w:shd w:val="clear" w:color="auto" w:fill="F2F5FA"/>
            <w:vAlign w:val="center"/>
          </w:tcPr>
          <w:p>
            <w:pPr>
              <w:spacing w:after="0"/>
            </w:pPr>
            <w:r>
              <w:rPr>
                <w:rFonts w:ascii="游ゴシック" w:hAnsi="游ゴシック" w:eastAsia="游ゴシック"/>
                <w:b w:val="0"/>
                <w:sz w:val="16"/>
              </w:rPr>
              <w:t>計画素案の未確定箇所の表示の統一</w:t>
            </w:r>
          </w:p>
        </w:tc>
        <w:tc>
          <w:tcPr>
            <w:tcW w:type="dxa" w:w="4649"/>
            <w:shd w:val="clear" w:color="auto" w:fill="F2F5FA"/>
            <w:vAlign w:val="center"/>
          </w:tcPr>
          <w:p>
            <w:pPr>
              <w:spacing w:after="0"/>
            </w:pPr>
            <w:r>
              <w:rPr>
                <w:rFonts w:ascii="游ゴシック" w:hAnsi="游ゴシック" w:eastAsia="游ゴシック"/>
                <w:b w:val="0"/>
                <w:sz w:val="16"/>
              </w:rPr>
              <w:t>未確定箇所の表示は［要協議］［要確認］［要内訳］の3種のままとし、記号の意味と解消の方法を資料7に掲げた</w:t>
            </w:r>
          </w:p>
        </w:tc>
        <w:tc>
          <w:tcPr>
            <w:tcW w:type="dxa" w:w="1701"/>
            <w:shd w:val="clear" w:color="auto" w:fill="F2F5FA"/>
            <w:vAlign w:val="center"/>
          </w:tcPr>
          <w:p>
            <w:pPr>
              <w:spacing w:after="0"/>
            </w:pPr>
            <w:r>
              <w:rPr>
                <w:rFonts w:ascii="游ゴシック" w:hAnsi="游ゴシック" w:eastAsia="游ゴシック"/>
                <w:b w:val="0"/>
                <w:sz w:val="16"/>
              </w:rPr>
              <w:t>資料7</w:t>
            </w:r>
          </w:p>
        </w:tc>
      </w:tr>
      <w:tr>
        <w:trPr>
          <w:cantSplit/>
        </w:trPr>
        <w:tc>
          <w:tcPr>
            <w:tcW w:type="dxa" w:w="794"/>
            <w:vAlign w:val="center"/>
          </w:tcPr>
          <w:p>
            <w:pPr>
              <w:spacing w:after="0"/>
              <w:jc w:val="center"/>
            </w:pPr>
            <w:r>
              <w:rPr>
                <w:rFonts w:ascii="游ゴシック" w:hAnsi="游ゴシック" w:eastAsia="游ゴシック"/>
                <w:b w:val="0"/>
                <w:sz w:val="16"/>
              </w:rPr>
              <w:t>No.154</w:t>
            </w:r>
          </w:p>
        </w:tc>
        <w:tc>
          <w:tcPr>
            <w:tcW w:type="dxa" w:w="2608"/>
            <w:vAlign w:val="center"/>
          </w:tcPr>
          <w:p>
            <w:pPr>
              <w:spacing w:after="0"/>
            </w:pPr>
            <w:r>
              <w:rPr>
                <w:rFonts w:ascii="游ゴシック" w:hAnsi="游ゴシック" w:eastAsia="游ゴシック"/>
                <w:b w:val="0"/>
                <w:sz w:val="16"/>
              </w:rPr>
              <w:t>計画素案 第2章第1節に町別の図を加えるか</w:t>
            </w:r>
          </w:p>
        </w:tc>
        <w:tc>
          <w:tcPr>
            <w:tcW w:type="dxa" w:w="4649"/>
            <w:vAlign w:val="center"/>
          </w:tcPr>
          <w:p>
            <w:pPr>
              <w:spacing w:after="0"/>
            </w:pPr>
            <w:r>
              <w:rPr>
                <w:rFonts w:ascii="游ゴシック" w:hAnsi="游ゴシック" w:eastAsia="游ゴシック"/>
                <w:b w:val="0"/>
                <w:sz w:val="16"/>
              </w:rPr>
              <w:t>町別の図は計画素案 第2章第1節に加えず、協議用の資料にとどめた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No.157</w:t>
            </w:r>
          </w:p>
        </w:tc>
        <w:tc>
          <w:tcPr>
            <w:tcW w:type="dxa" w:w="2608"/>
            <w:shd w:val="clear" w:color="auto" w:fill="F2F5FA"/>
            <w:vAlign w:val="center"/>
          </w:tcPr>
          <w:p>
            <w:pPr>
              <w:spacing w:after="0"/>
            </w:pPr>
            <w:r>
              <w:rPr>
                <w:rFonts w:ascii="游ゴシック" w:hAnsi="游ゴシック" w:eastAsia="游ゴシック"/>
                <w:b w:val="0"/>
                <w:sz w:val="16"/>
              </w:rPr>
              <w:t>中長期推計を令和12・27・32年度まで広げるか</w:t>
            </w:r>
          </w:p>
        </w:tc>
        <w:tc>
          <w:tcPr>
            <w:tcW w:type="dxa" w:w="4649"/>
            <w:shd w:val="clear" w:color="auto" w:fill="F2F5FA"/>
            <w:vAlign w:val="center"/>
          </w:tcPr>
          <w:p>
            <w:pPr>
              <w:spacing w:after="0"/>
            </w:pPr>
            <w:r>
              <w:rPr>
                <w:rFonts w:ascii="游ゴシック" w:hAnsi="游ゴシック" w:eastAsia="游ゴシック"/>
                <w:b w:val="0"/>
                <w:sz w:val="16"/>
              </w:rPr>
              <w:t>算定の側だけを令和12・27・32年度まで広げ、計画本文に掲げる中長期は令和17年度・令和22年度のままとした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No.158</w:t>
            </w:r>
          </w:p>
        </w:tc>
        <w:tc>
          <w:tcPr>
            <w:tcW w:type="dxa" w:w="2608"/>
            <w:vAlign w:val="center"/>
          </w:tcPr>
          <w:p>
            <w:pPr>
              <w:spacing w:after="0"/>
            </w:pPr>
            <w:r>
              <w:rPr>
                <w:rFonts w:ascii="游ゴシック" w:hAnsi="游ゴシック" w:eastAsia="游ゴシック"/>
                <w:b w:val="0"/>
                <w:sz w:val="16"/>
              </w:rPr>
              <w:t>在宅生活改善調査による代表KPI2項目の分母と町別の示し方</w:t>
            </w:r>
          </w:p>
        </w:tc>
        <w:tc>
          <w:tcPr>
            <w:tcW w:type="dxa" w:w="4649"/>
            <w:vAlign w:val="center"/>
          </w:tcPr>
          <w:p>
            <w:pPr>
              <w:spacing w:after="0"/>
            </w:pPr>
            <w:r>
              <w:rPr>
                <w:rFonts w:ascii="游ゴシック" w:hAnsi="游ゴシック" w:eastAsia="游ゴシック"/>
                <w:b w:val="0"/>
                <w:sz w:val="16"/>
              </w:rPr>
              <w:t>代表KPI H06・H12の分母を設問ごとの有効回答とし、町別の値は掲げていない</w:t>
            </w:r>
          </w:p>
        </w:tc>
        <w:tc>
          <w:tcPr>
            <w:tcW w:type="dxa" w:w="1701"/>
            <w:vAlign w:val="center"/>
          </w:tcPr>
          <w:p>
            <w:pPr>
              <w:spacing w:after="0"/>
            </w:pPr>
            <w:r>
              <w:rPr>
                <w:rFonts w:ascii="游ゴシック" w:hAnsi="游ゴシック" w:eastAsia="游ゴシック"/>
                <w:b w:val="0"/>
                <w:sz w:val="16"/>
              </w:rPr>
              <w:t>第4章第3節・資料1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No.159</w:t>
            </w:r>
          </w:p>
        </w:tc>
        <w:tc>
          <w:tcPr>
            <w:tcW w:type="dxa" w:w="2608"/>
            <w:shd w:val="clear" w:color="auto" w:fill="F2F5FA"/>
            <w:vAlign w:val="center"/>
          </w:tcPr>
          <w:p>
            <w:pPr>
              <w:spacing w:after="0"/>
            </w:pPr>
            <w:r>
              <w:rPr>
                <w:rFonts w:ascii="游ゴシック" w:hAnsi="游ゴシック" w:eastAsia="游ゴシック"/>
                <w:b w:val="0"/>
                <w:sz w:val="16"/>
              </w:rPr>
              <w:t>東川町の通いの場の整備と担い手の確保</w:t>
            </w:r>
          </w:p>
        </w:tc>
        <w:tc>
          <w:tcPr>
            <w:tcW w:type="dxa" w:w="4649"/>
            <w:shd w:val="clear" w:color="auto" w:fill="F2F5FA"/>
            <w:vAlign w:val="center"/>
          </w:tcPr>
          <w:p>
            <w:pPr>
              <w:spacing w:after="0"/>
            </w:pPr>
            <w:r>
              <w:rPr>
                <w:rFonts w:ascii="游ゴシック" w:hAnsi="游ゴシック" w:eastAsia="游ゴシック"/>
                <w:b w:val="0"/>
                <w:sz w:val="16"/>
              </w:rPr>
              <w:t>通いの場の目標値は現在の実施の状況を前提として置き、整備が進む町がある場合は中間年の見直しで改める旨を注に明示した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No.160</w:t>
            </w:r>
          </w:p>
        </w:tc>
        <w:tc>
          <w:tcPr>
            <w:tcW w:type="dxa" w:w="2608"/>
            <w:vAlign w:val="center"/>
          </w:tcPr>
          <w:p>
            <w:pPr>
              <w:spacing w:after="0"/>
            </w:pPr>
            <w:r>
              <w:rPr>
                <w:rFonts w:ascii="游ゴシック" w:hAnsi="游ゴシック" w:eastAsia="游ゴシック"/>
                <w:b w:val="0"/>
                <w:sz w:val="16"/>
              </w:rPr>
              <w:t>東川町の認知症サポーター養成講座の実施状況</w:t>
            </w:r>
          </w:p>
        </w:tc>
        <w:tc>
          <w:tcPr>
            <w:tcW w:type="dxa" w:w="4649"/>
            <w:vAlign w:val="center"/>
          </w:tcPr>
          <w:p>
            <w:pPr>
              <w:spacing w:after="0"/>
            </w:pPr>
            <w:r>
              <w:rPr>
                <w:rFonts w:ascii="游ゴシック" w:hAnsi="游ゴシック" w:eastAsia="游ゴシック"/>
                <w:b w:val="0"/>
                <w:sz w:val="16"/>
              </w:rPr>
              <w:t>認知症サポーターの養成は現に確認できる取組の範囲で掲げ、養成人数の目標値を置いていない旨を注に明示した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No.161</w:t>
            </w:r>
          </w:p>
        </w:tc>
        <w:tc>
          <w:tcPr>
            <w:tcW w:type="dxa" w:w="2608"/>
            <w:shd w:val="clear" w:color="auto" w:fill="F2F5FA"/>
            <w:vAlign w:val="center"/>
          </w:tcPr>
          <w:p>
            <w:pPr>
              <w:spacing w:after="0"/>
            </w:pPr>
            <w:r>
              <w:rPr>
                <w:rFonts w:ascii="游ゴシック" w:hAnsi="游ゴシック" w:eastAsia="游ゴシック"/>
                <w:b w:val="0"/>
                <w:sz w:val="16"/>
              </w:rPr>
              <w:t>東川町のチームオレンジ事業の位置づけ</w:t>
            </w:r>
          </w:p>
        </w:tc>
        <w:tc>
          <w:tcPr>
            <w:tcW w:type="dxa" w:w="4649"/>
            <w:shd w:val="clear" w:color="auto" w:fill="F2F5FA"/>
            <w:vAlign w:val="center"/>
          </w:tcPr>
          <w:p>
            <w:pPr>
              <w:spacing w:after="0"/>
            </w:pPr>
            <w:r>
              <w:rPr>
                <w:rFonts w:ascii="游ゴシック" w:hAnsi="游ゴシック" w:eastAsia="游ゴシック"/>
                <w:b w:val="0"/>
                <w:sz w:val="16"/>
              </w:rPr>
              <w:t>チームオレンジは東川町の取組として掲げ、他の町への展開は3町と協議して定める旨を注に明示した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No.162</w:t>
            </w:r>
          </w:p>
        </w:tc>
        <w:tc>
          <w:tcPr>
            <w:tcW w:type="dxa" w:w="2608"/>
            <w:vAlign w:val="center"/>
          </w:tcPr>
          <w:p>
            <w:pPr>
              <w:spacing w:after="0"/>
            </w:pPr>
            <w:r>
              <w:rPr>
                <w:rFonts w:ascii="游ゴシック" w:hAnsi="游ゴシック" w:eastAsia="游ゴシック"/>
                <w:b w:val="0"/>
                <w:sz w:val="16"/>
              </w:rPr>
              <w:t>美瑛町の認知症初期集中支援推進事業の再開の見通し</w:t>
            </w:r>
          </w:p>
        </w:tc>
        <w:tc>
          <w:tcPr>
            <w:tcW w:type="dxa" w:w="4649"/>
            <w:vAlign w:val="center"/>
          </w:tcPr>
          <w:p>
            <w:pPr>
              <w:spacing w:after="0"/>
            </w:pPr>
            <w:r>
              <w:rPr>
                <w:rFonts w:ascii="游ゴシック" w:hAnsi="游ゴシック" w:eastAsia="游ゴシック"/>
                <w:b w:val="0"/>
                <w:sz w:val="16"/>
              </w:rPr>
              <w:t>美瑛町の認知症初期集中支援推進事業は令和7年度の実施状況のとおり記述し、再開の時期は［要協議］のまま残した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No.163</w:t>
            </w:r>
          </w:p>
        </w:tc>
        <w:tc>
          <w:tcPr>
            <w:tcW w:type="dxa" w:w="2608"/>
            <w:shd w:val="clear" w:color="auto" w:fill="F2F5FA"/>
            <w:vAlign w:val="center"/>
          </w:tcPr>
          <w:p>
            <w:pPr>
              <w:spacing w:after="0"/>
            </w:pPr>
            <w:r>
              <w:rPr>
                <w:rFonts w:ascii="游ゴシック" w:hAnsi="游ゴシック" w:eastAsia="游ゴシック"/>
                <w:b w:val="0"/>
                <w:sz w:val="16"/>
              </w:rPr>
              <w:t>美瑛町の地域リハビリテーション活動支援事業の3町展開</w:t>
            </w:r>
          </w:p>
        </w:tc>
        <w:tc>
          <w:tcPr>
            <w:tcW w:type="dxa" w:w="4649"/>
            <w:shd w:val="clear" w:color="auto" w:fill="F2F5FA"/>
            <w:vAlign w:val="center"/>
          </w:tcPr>
          <w:p>
            <w:pPr>
              <w:spacing w:after="0"/>
            </w:pPr>
            <w:r>
              <w:rPr>
                <w:rFonts w:ascii="游ゴシック" w:hAnsi="游ゴシック" w:eastAsia="游ゴシック"/>
                <w:b w:val="0"/>
                <w:sz w:val="16"/>
              </w:rPr>
              <w:t>地域リハビリテーション活動支援事業は美瑛町の取組として記述し、3町展開とは書かないことに改めた</w:t>
            </w:r>
          </w:p>
        </w:tc>
        <w:tc>
          <w:tcPr>
            <w:tcW w:type="dxa" w:w="1701"/>
            <w:shd w:val="clear" w:color="auto" w:fill="F2F5FA"/>
            <w:vAlign w:val="center"/>
          </w:tcPr>
          <w:p>
            <w:pPr>
              <w:spacing w:after="0"/>
            </w:pPr>
            <w:r>
              <w:rPr>
                <w:rFonts w:ascii="游ゴシック" w:hAnsi="游ゴシック" w:eastAsia="游ゴシック"/>
                <w:b w:val="0"/>
                <w:sz w:val="16"/>
              </w:rPr>
              <w:t>第3章第2節・第5章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w:t>
            </w:r>
          </w:p>
        </w:tc>
        <w:tc>
          <w:tcPr>
            <w:tcW w:type="dxa" w:w="2608"/>
            <w:vAlign w:val="center"/>
          </w:tcPr>
          <w:p>
            <w:pPr>
              <w:spacing w:after="0"/>
            </w:pPr>
            <w:r>
              <w:rPr>
                <w:rFonts w:ascii="游ゴシック" w:hAnsi="游ゴシック" w:eastAsia="游ゴシック"/>
                <w:b w:val="0"/>
                <w:sz w:val="16"/>
              </w:rPr>
              <w:t>保険料算定の前提</w:t>
            </w:r>
          </w:p>
        </w:tc>
        <w:tc>
          <w:tcPr>
            <w:tcW w:type="dxa" w:w="4649"/>
            <w:vAlign w:val="center"/>
          </w:tcPr>
          <w:p>
            <w:pPr>
              <w:spacing w:after="0"/>
            </w:pPr>
            <w:r>
              <w:rPr>
                <w:rFonts w:ascii="游ゴシック" w:hAnsi="游ゴシック" w:eastAsia="游ゴシック"/>
                <w:b w:val="0"/>
                <w:sz w:val="16"/>
              </w:rPr>
              <w:t>保険料算定の前提は単価固定・施策反映なし・適正化を織り込まない・基金取崩しなしによることを明示した（No.60と同じ前提）</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No.164</w:t>
            </w:r>
          </w:p>
        </w:tc>
        <w:tc>
          <w:tcPr>
            <w:tcW w:type="dxa" w:w="2608"/>
            <w:shd w:val="clear" w:color="auto" w:fill="F2F5FA"/>
            <w:vAlign w:val="center"/>
          </w:tcPr>
          <w:p>
            <w:pPr>
              <w:spacing w:after="0"/>
            </w:pPr>
            <w:r>
              <w:rPr>
                <w:rFonts w:ascii="游ゴシック" w:hAnsi="游ゴシック" w:eastAsia="游ゴシック"/>
                <w:b w:val="0"/>
                <w:sz w:val="16"/>
              </w:rPr>
              <w:t>美瑛町の地域密着型介護老人福祉施設の整備方針</w:t>
            </w:r>
          </w:p>
        </w:tc>
        <w:tc>
          <w:tcPr>
            <w:tcW w:type="dxa" w:w="4649"/>
            <w:shd w:val="clear" w:color="auto" w:fill="F2F5FA"/>
            <w:vAlign w:val="center"/>
          </w:tcPr>
          <w:p>
            <w:pPr>
              <w:spacing w:after="0"/>
            </w:pPr>
            <w:r>
              <w:rPr>
                <w:rFonts w:ascii="游ゴシック" w:hAnsi="游ゴシック" w:eastAsia="游ゴシック"/>
                <w:b w:val="0"/>
                <w:sz w:val="16"/>
              </w:rPr>
              <w:t>美瑛町の地域密着型介護老人福祉施設は現定員の据え置き案を掲げ、本文は［要協議］のまま残した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No.165</w:t>
            </w:r>
          </w:p>
        </w:tc>
        <w:tc>
          <w:tcPr>
            <w:tcW w:type="dxa" w:w="2608"/>
            <w:vAlign w:val="center"/>
          </w:tcPr>
          <w:p>
            <w:pPr>
              <w:spacing w:after="0"/>
            </w:pPr>
            <w:r>
              <w:rPr>
                <w:rFonts w:ascii="游ゴシック" w:hAnsi="游ゴシック" w:eastAsia="游ゴシック"/>
                <w:b w:val="0"/>
                <w:sz w:val="16"/>
              </w:rPr>
              <w:t>美瑛町の難聴高齢者の早期発見・早期介入の取組</w:t>
            </w:r>
          </w:p>
        </w:tc>
        <w:tc>
          <w:tcPr>
            <w:tcW w:type="dxa" w:w="4649"/>
            <w:vAlign w:val="center"/>
          </w:tcPr>
          <w:p>
            <w:pPr>
              <w:spacing w:after="0"/>
            </w:pPr>
            <w:r>
              <w:rPr>
                <w:rFonts w:ascii="游ゴシック" w:hAnsi="游ゴシック" w:eastAsia="游ゴシック"/>
                <w:b w:val="0"/>
                <w:sz w:val="16"/>
              </w:rPr>
              <w:t>難聴高齢者の早期発見・早期介入は令和8年度に新たに加えられた交付金の評価項目であり町により得点に差があることを示し、現に確認できる範囲で掲げるにとどめた</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No.166</w:t>
            </w:r>
          </w:p>
        </w:tc>
        <w:tc>
          <w:tcPr>
            <w:tcW w:type="dxa" w:w="2608"/>
            <w:shd w:val="clear" w:color="auto" w:fill="F2F5FA"/>
            <w:vAlign w:val="center"/>
          </w:tcPr>
          <w:p>
            <w:pPr>
              <w:spacing w:after="0"/>
            </w:pPr>
            <w:r>
              <w:rPr>
                <w:rFonts w:ascii="游ゴシック" w:hAnsi="游ゴシック" w:eastAsia="游ゴシック"/>
                <w:b w:val="0"/>
                <w:sz w:val="16"/>
              </w:rPr>
              <w:t>東神楽町の通いの場の維持</w:t>
            </w:r>
          </w:p>
        </w:tc>
        <w:tc>
          <w:tcPr>
            <w:tcW w:type="dxa" w:w="4649"/>
            <w:shd w:val="clear" w:color="auto" w:fill="F2F5FA"/>
            <w:vAlign w:val="center"/>
          </w:tcPr>
          <w:p>
            <w:pPr>
              <w:spacing w:after="0"/>
            </w:pPr>
            <w:r>
              <w:rPr>
                <w:rFonts w:ascii="游ゴシック" w:hAnsi="游ゴシック" w:eastAsia="游ゴシック"/>
                <w:b w:val="0"/>
                <w:sz w:val="16"/>
              </w:rPr>
              <w:t>通いの場の目標値は令和6年度の水準が続くものとして置いた</w:t>
            </w:r>
          </w:p>
        </w:tc>
        <w:tc>
          <w:tcPr>
            <w:tcW w:type="dxa" w:w="1701"/>
            <w:shd w:val="clear" w:color="auto" w:fill="F2F5FA"/>
            <w:vAlign w:val="center"/>
          </w:tcPr>
          <w:p>
            <w:pPr>
              <w:spacing w:after="0"/>
            </w:pPr>
            <w:r>
              <w:rPr>
                <w:rFonts w:ascii="游ゴシック" w:hAnsi="游ゴシック" w:eastAsia="游ゴシック"/>
                <w:b w:val="0"/>
                <w:sz w:val="16"/>
              </w:rPr>
              <w:t>第5章 基本目標2</w:t>
            </w:r>
          </w:p>
        </w:tc>
      </w:tr>
      <w:tr>
        <w:trPr>
          <w:cantSplit/>
        </w:trPr>
        <w:tc>
          <w:tcPr>
            <w:tcW w:type="dxa" w:w="794"/>
            <w:vAlign w:val="center"/>
          </w:tcPr>
          <w:p>
            <w:pPr>
              <w:spacing w:after="0"/>
              <w:jc w:val="center"/>
            </w:pPr>
            <w:r>
              <w:rPr>
                <w:rFonts w:ascii="游ゴシック" w:hAnsi="游ゴシック" w:eastAsia="游ゴシック"/>
                <w:b w:val="0"/>
                <w:sz w:val="16"/>
              </w:rPr>
              <w:t>No.167</w:t>
            </w:r>
          </w:p>
        </w:tc>
        <w:tc>
          <w:tcPr>
            <w:tcW w:type="dxa" w:w="2608"/>
            <w:vAlign w:val="center"/>
          </w:tcPr>
          <w:p>
            <w:pPr>
              <w:spacing w:after="0"/>
            </w:pPr>
            <w:r>
              <w:rPr>
                <w:rFonts w:ascii="游ゴシック" w:hAnsi="游ゴシック" w:eastAsia="游ゴシック"/>
                <w:b w:val="0"/>
                <w:sz w:val="16"/>
              </w:rPr>
              <w:t>東神楽町の認知症サポーター・ステップアップ講座の実施状況</w:t>
            </w:r>
          </w:p>
        </w:tc>
        <w:tc>
          <w:tcPr>
            <w:tcW w:type="dxa" w:w="4649"/>
            <w:vAlign w:val="center"/>
          </w:tcPr>
          <w:p>
            <w:pPr>
              <w:spacing w:after="0"/>
            </w:pPr>
            <w:r>
              <w:rPr>
                <w:rFonts w:ascii="游ゴシック" w:hAnsi="游ゴシック" w:eastAsia="游ゴシック"/>
                <w:b w:val="0"/>
                <w:sz w:val="16"/>
              </w:rPr>
              <w:t>認知症サポーター・ステップアップ講座は現に確認できる取組の範囲で記述し目標値を置いていない</w:t>
            </w:r>
          </w:p>
        </w:tc>
        <w:tc>
          <w:tcPr>
            <w:tcW w:type="dxa" w:w="1701"/>
            <w:vAlign w:val="center"/>
          </w:tcPr>
          <w:p>
            <w:pPr>
              <w:spacing w:after="0"/>
            </w:pPr>
            <w:r>
              <w:rPr>
                <w:rFonts w:ascii="游ゴシック" w:hAnsi="游ゴシック" w:eastAsia="游ゴシック"/>
                <w:b w:val="0"/>
                <w:sz w:val="16"/>
              </w:rPr>
              <w:t>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No.170</w:t>
            </w:r>
          </w:p>
        </w:tc>
        <w:tc>
          <w:tcPr>
            <w:tcW w:type="dxa" w:w="2608"/>
            <w:shd w:val="clear" w:color="auto" w:fill="F2F5FA"/>
            <w:vAlign w:val="center"/>
          </w:tcPr>
          <w:p>
            <w:pPr>
              <w:spacing w:after="0"/>
            </w:pPr>
            <w:r>
              <w:rPr>
                <w:rFonts w:ascii="游ゴシック" w:hAnsi="游ゴシック" w:eastAsia="游ゴシック"/>
                <w:b w:val="0"/>
                <w:sz w:val="16"/>
              </w:rPr>
              <w:t>計画素案に独自に加えた記載のうち、打合せ協議用へ移すもの</w:t>
            </w:r>
          </w:p>
        </w:tc>
        <w:tc>
          <w:tcPr>
            <w:tcW w:type="dxa" w:w="4649"/>
            <w:shd w:val="clear" w:color="auto" w:fill="F2F5FA"/>
            <w:vAlign w:val="center"/>
          </w:tcPr>
          <w:p>
            <w:pPr>
              <w:spacing w:after="0"/>
            </w:pPr>
            <w:r>
              <w:rPr>
                <w:rFonts w:ascii="游ゴシック" w:hAnsi="游ゴシック" w:eastAsia="游ゴシック"/>
                <w:b w:val="0"/>
                <w:sz w:val="16"/>
              </w:rPr>
              <w:t>計画素案から協議用の成果品へ移す8件を移し、「協議」判定の16件は素案に残した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No.172</w:t>
            </w:r>
          </w:p>
        </w:tc>
        <w:tc>
          <w:tcPr>
            <w:tcW w:type="dxa" w:w="2608"/>
            <w:vAlign w:val="center"/>
          </w:tcPr>
          <w:p>
            <w:pPr>
              <w:spacing w:after="0"/>
            </w:pPr>
            <w:r>
              <w:rPr>
                <w:rFonts w:ascii="游ゴシック" w:hAnsi="游ゴシック" w:eastAsia="游ゴシック"/>
                <w:b w:val="0"/>
                <w:sz w:val="16"/>
              </w:rPr>
              <w:t>保険者機能強化推進交付金等の評価を示す図の計画本文への掲載</w:t>
            </w:r>
          </w:p>
        </w:tc>
        <w:tc>
          <w:tcPr>
            <w:tcW w:type="dxa" w:w="4649"/>
            <w:vAlign w:val="center"/>
          </w:tcPr>
          <w:p>
            <w:pPr>
              <w:spacing w:after="0"/>
            </w:pPr>
            <w:r>
              <w:rPr>
                <w:rFonts w:ascii="游ゴシック" w:hAnsi="游ゴシック" w:eastAsia="游ゴシック"/>
                <w:b w:val="0"/>
                <w:sz w:val="16"/>
              </w:rPr>
              <w:t>交付金の評価を示す図は計画本文に掲げず、策定委員会の資料にとどめた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No.174</w:t>
            </w:r>
          </w:p>
        </w:tc>
        <w:tc>
          <w:tcPr>
            <w:tcW w:type="dxa" w:w="2608"/>
            <w:shd w:val="clear" w:color="auto" w:fill="F2F5FA"/>
            <w:vAlign w:val="center"/>
          </w:tcPr>
          <w:p>
            <w:pPr>
              <w:spacing w:after="0"/>
            </w:pPr>
            <w:r>
              <w:rPr>
                <w:rFonts w:ascii="游ゴシック" w:hAnsi="游ゴシック" w:eastAsia="游ゴシック"/>
                <w:b w:val="0"/>
                <w:sz w:val="16"/>
              </w:rPr>
              <w:t>人口及び第1号被保険者数の入力値をどの系列にそろえるか（内部整合）</w:t>
            </w:r>
          </w:p>
        </w:tc>
        <w:tc>
          <w:tcPr>
            <w:tcW w:type="dxa" w:w="4649"/>
            <w:shd w:val="clear" w:color="auto" w:fill="F2F5FA"/>
            <w:vAlign w:val="center"/>
          </w:tcPr>
          <w:p>
            <w:pPr>
              <w:spacing w:after="0"/>
            </w:pPr>
            <w:r>
              <w:rPr>
                <w:rFonts w:ascii="游ゴシック" w:hAnsi="游ゴシック" w:eastAsia="游ゴシック"/>
                <w:b w:val="0"/>
                <w:sz w:val="16"/>
              </w:rPr>
              <w:t>人口及び第1号被保険者数は案Cにそろえ、見える化システムへの入力値も案Cによった</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No.2</w:t>
            </w:r>
          </w:p>
        </w:tc>
        <w:tc>
          <w:tcPr>
            <w:tcW w:type="dxa" w:w="2608"/>
            <w:vAlign w:val="center"/>
          </w:tcPr>
          <w:p>
            <w:pPr>
              <w:spacing w:after="0"/>
            </w:pPr>
            <w:r>
              <w:rPr>
                <w:rFonts w:ascii="游ゴシック" w:hAnsi="游ゴシック" w:eastAsia="游ゴシック"/>
                <w:b w:val="0"/>
                <w:sz w:val="16"/>
              </w:rPr>
              <w:t>特定地域の指定に係る意向表明の手続</w:t>
            </w:r>
          </w:p>
        </w:tc>
        <w:tc>
          <w:tcPr>
            <w:tcW w:type="dxa" w:w="4649"/>
            <w:vAlign w:val="center"/>
          </w:tcPr>
          <w:p>
            <w:pPr>
              <w:spacing w:after="0"/>
            </w:pPr>
            <w:r>
              <w:rPr>
                <w:rFonts w:ascii="游ゴシック" w:hAnsi="游ゴシック" w:eastAsia="游ゴシック"/>
                <w:b w:val="0"/>
                <w:sz w:val="16"/>
              </w:rPr>
              <w:t>特定地域の指定に係る意向の表明は、基準及び手続が確定していないため行わないものとし、省令等の確定後に3町と協議して定める旨を注に明示した</w:t>
            </w:r>
          </w:p>
        </w:tc>
        <w:tc>
          <w:tcPr>
            <w:tcW w:type="dxa" w:w="1701"/>
            <w:vAlign w:val="center"/>
          </w:tcPr>
          <w:p>
            <w:pPr>
              <w:spacing w:after="0"/>
            </w:pPr>
            <w:r>
              <w:rPr>
                <w:rFonts w:ascii="游ゴシック" w:hAnsi="游ゴシック" w:eastAsia="游ゴシック"/>
                <w:b w:val="0"/>
                <w:sz w:val="16"/>
              </w:rPr>
              <w:t>第1章第9節1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w:t>
            </w:r>
          </w:p>
        </w:tc>
        <w:tc>
          <w:tcPr>
            <w:tcW w:type="dxa" w:w="2608"/>
            <w:shd w:val="clear" w:color="auto" w:fill="F2F5FA"/>
            <w:vAlign w:val="center"/>
          </w:tcPr>
          <w:p>
            <w:pPr>
              <w:spacing w:after="0"/>
            </w:pPr>
            <w:r>
              <w:rPr>
                <w:rFonts w:ascii="游ゴシック" w:hAnsi="游ゴシック" w:eastAsia="游ゴシック"/>
                <w:b w:val="0"/>
                <w:sz w:val="16"/>
              </w:rPr>
              <w:t>訪問・通所困難地域の判定資料</w:t>
            </w:r>
          </w:p>
        </w:tc>
        <w:tc>
          <w:tcPr>
            <w:tcW w:type="dxa" w:w="4649"/>
            <w:shd w:val="clear" w:color="auto" w:fill="F2F5FA"/>
            <w:vAlign w:val="center"/>
          </w:tcPr>
          <w:p>
            <w:pPr>
              <w:spacing w:after="0"/>
            </w:pPr>
            <w:r>
              <w:rPr>
                <w:rFonts w:ascii="游ゴシック" w:hAnsi="游ゴシック" w:eastAsia="游ゴシック"/>
                <w:b w:val="0"/>
                <w:sz w:val="16"/>
              </w:rPr>
              <w:t>訪問・通所困難地域は、北海道の指定事業所一覧の「通常の事業の実施地域」により判定することとした</w:t>
            </w:r>
          </w:p>
        </w:tc>
        <w:tc>
          <w:tcPr>
            <w:tcW w:type="dxa" w:w="1701"/>
            <w:shd w:val="clear" w:color="auto" w:fill="F2F5FA"/>
            <w:vAlign w:val="center"/>
          </w:tcPr>
          <w:p>
            <w:pPr>
              <w:spacing w:after="0"/>
            </w:pPr>
            <w:r>
              <w:rPr>
                <w:rFonts w:ascii="游ゴシック" w:hAnsi="游ゴシック" w:eastAsia="游ゴシック"/>
                <w:b w:val="0"/>
                <w:sz w:val="16"/>
              </w:rPr>
              <w:t>第1章第7節</w:t>
            </w:r>
          </w:p>
        </w:tc>
      </w:tr>
      <w:tr>
        <w:trPr>
          <w:cantSplit/>
        </w:trPr>
        <w:tc>
          <w:tcPr>
            <w:tcW w:type="dxa" w:w="794"/>
            <w:vAlign w:val="center"/>
          </w:tcPr>
          <w:p>
            <w:pPr>
              <w:spacing w:after="0"/>
              <w:jc w:val="center"/>
            </w:pPr>
            <w:r>
              <w:rPr>
                <w:rFonts w:ascii="游ゴシック" w:hAnsi="游ゴシック" w:eastAsia="游ゴシック"/>
                <w:b w:val="0"/>
                <w:sz w:val="16"/>
              </w:rPr>
              <w:t>No.14</w:t>
            </w:r>
          </w:p>
        </w:tc>
        <w:tc>
          <w:tcPr>
            <w:tcW w:type="dxa" w:w="2608"/>
            <w:vAlign w:val="center"/>
          </w:tcPr>
          <w:p>
            <w:pPr>
              <w:spacing w:after="0"/>
            </w:pPr>
            <w:r>
              <w:rPr>
                <w:rFonts w:ascii="游ゴシック" w:hAnsi="游ゴシック" w:eastAsia="游ゴシック"/>
                <w:b w:val="0"/>
                <w:sz w:val="16"/>
              </w:rPr>
              <w:t>人口推計の基礎とする系列</w:t>
            </w:r>
          </w:p>
        </w:tc>
        <w:tc>
          <w:tcPr>
            <w:tcW w:type="dxa" w:w="4649"/>
            <w:vAlign w:val="center"/>
          </w:tcPr>
          <w:p>
            <w:pPr>
              <w:spacing w:after="0"/>
            </w:pPr>
            <w:r>
              <w:rPr>
                <w:rFonts w:ascii="游ゴシック" w:hAnsi="游ゴシック" w:eastAsia="游ゴシック"/>
                <w:b w:val="0"/>
                <w:sz w:val="16"/>
              </w:rPr>
              <w:t>人口推計の基礎は案C（総合戦略と住民基本台帳の実績趨勢）による</w:t>
            </w:r>
          </w:p>
        </w:tc>
        <w:tc>
          <w:tcPr>
            <w:tcW w:type="dxa" w:w="1701"/>
            <w:vAlign w:val="center"/>
          </w:tcPr>
          <w:p>
            <w:pPr>
              <w:spacing w:after="0"/>
            </w:pPr>
            <w:r>
              <w:rPr>
                <w:rFonts w:ascii="游ゴシック" w:hAnsi="游ゴシック" w:eastAsia="游ゴシック"/>
                <w:b w:val="0"/>
                <w:sz w:val="16"/>
              </w:rPr>
              <w:t>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w:t>
            </w:r>
          </w:p>
        </w:tc>
        <w:tc>
          <w:tcPr>
            <w:tcW w:type="dxa" w:w="2608"/>
            <w:shd w:val="clear" w:color="auto" w:fill="F2F5FA"/>
            <w:vAlign w:val="center"/>
          </w:tcPr>
          <w:p>
            <w:pPr>
              <w:spacing w:after="0"/>
            </w:pPr>
            <w:r>
              <w:rPr>
                <w:rFonts w:ascii="游ゴシック" w:hAnsi="游ゴシック" w:eastAsia="游ゴシック"/>
                <w:b w:val="0"/>
                <w:sz w:val="16"/>
              </w:rPr>
              <w:t>認定者数の基準月と月次推移</w:t>
            </w:r>
          </w:p>
        </w:tc>
        <w:tc>
          <w:tcPr>
            <w:tcW w:type="dxa" w:w="4649"/>
            <w:shd w:val="clear" w:color="auto" w:fill="F2F5FA"/>
            <w:vAlign w:val="center"/>
          </w:tcPr>
          <w:p>
            <w:pPr>
              <w:spacing w:after="0"/>
            </w:pPr>
            <w:r>
              <w:rPr>
                <w:rFonts w:ascii="游ゴシック" w:hAnsi="游ゴシック" w:eastAsia="游ゴシック"/>
                <w:b w:val="0"/>
                <w:sz w:val="16"/>
              </w:rPr>
              <w:t>認定者数は年報の年度末現在を基準とし、月次推移は計画本文に掲げていない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No.17</w:t>
            </w:r>
          </w:p>
        </w:tc>
        <w:tc>
          <w:tcPr>
            <w:tcW w:type="dxa" w:w="2608"/>
            <w:vAlign w:val="center"/>
          </w:tcPr>
          <w:p>
            <w:pPr>
              <w:spacing w:after="0"/>
            </w:pPr>
            <w:r>
              <w:rPr>
                <w:rFonts w:ascii="游ゴシック" w:hAnsi="游ゴシック" w:eastAsia="游ゴシック"/>
                <w:b w:val="0"/>
                <w:sz w:val="16"/>
              </w:rPr>
              <w:t>3町計画への共通指標の掲載</w:t>
            </w:r>
          </w:p>
        </w:tc>
        <w:tc>
          <w:tcPr>
            <w:tcW w:type="dxa" w:w="4649"/>
            <w:vAlign w:val="center"/>
          </w:tcPr>
          <w:p>
            <w:pPr>
              <w:spacing w:after="0"/>
            </w:pPr>
            <w:r>
              <w:rPr>
                <w:rFonts w:ascii="游ゴシック" w:hAnsi="游ゴシック" w:eastAsia="游ゴシック"/>
                <w:b w:val="0"/>
                <w:sz w:val="16"/>
              </w:rPr>
              <w:t>広域連合の代表KPI16項目を掲げ、3町計画への掲載は求めず、役割分担と共通KPIにより接続することとした</w:t>
            </w:r>
          </w:p>
        </w:tc>
        <w:tc>
          <w:tcPr>
            <w:tcW w:type="dxa" w:w="1701"/>
            <w:vAlign w:val="center"/>
          </w:tcPr>
          <w:p>
            <w:pPr>
              <w:spacing w:after="0"/>
            </w:pPr>
            <w:r>
              <w:rPr>
                <w:rFonts w:ascii="游ゴシック" w:hAnsi="游ゴシック" w:eastAsia="游ゴシック"/>
                <w:b w:val="0"/>
                <w:sz w:val="16"/>
              </w:rPr>
              <w:t>資料2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No.20</w:t>
            </w:r>
          </w:p>
        </w:tc>
        <w:tc>
          <w:tcPr>
            <w:tcW w:type="dxa" w:w="2608"/>
            <w:shd w:val="clear" w:color="auto" w:fill="F2F5FA"/>
            <w:vAlign w:val="center"/>
          </w:tcPr>
          <w:p>
            <w:pPr>
              <w:spacing w:after="0"/>
            </w:pPr>
            <w:r>
              <w:rPr>
                <w:rFonts w:ascii="游ゴシック" w:hAnsi="游ゴシック" w:eastAsia="游ゴシック"/>
                <w:b w:val="0"/>
                <w:sz w:val="16"/>
              </w:rPr>
              <w:t>北海道・圏域との調整の場</w:t>
            </w:r>
          </w:p>
        </w:tc>
        <w:tc>
          <w:tcPr>
            <w:tcW w:type="dxa" w:w="4649"/>
            <w:shd w:val="clear" w:color="auto" w:fill="F2F5FA"/>
            <w:vAlign w:val="center"/>
          </w:tcPr>
          <w:p>
            <w:pPr>
              <w:spacing w:after="0"/>
            </w:pPr>
            <w:r>
              <w:rPr>
                <w:rFonts w:ascii="游ゴシック" w:hAnsi="游ゴシック" w:eastAsia="游ゴシック"/>
                <w:b w:val="0"/>
                <w:sz w:val="16"/>
              </w:rPr>
              <w:t>北海道の第9期支援計画の8基本目標との対応により整合を図った</w:t>
            </w:r>
          </w:p>
        </w:tc>
        <w:tc>
          <w:tcPr>
            <w:tcW w:type="dxa" w:w="1701"/>
            <w:shd w:val="clear" w:color="auto" w:fill="F2F5FA"/>
            <w:vAlign w:val="center"/>
          </w:tcPr>
          <w:p>
            <w:pPr>
              <w:spacing w:after="0"/>
            </w:pPr>
            <w:r>
              <w:rPr>
                <w:rFonts w:ascii="游ゴシック" w:hAnsi="游ゴシック" w:eastAsia="游ゴシック"/>
                <w:b w:val="0"/>
                <w:sz w:val="16"/>
              </w:rPr>
              <w:t>第1章第8節</w:t>
            </w:r>
          </w:p>
        </w:tc>
      </w:tr>
      <w:tr>
        <w:trPr>
          <w:cantSplit/>
        </w:trPr>
        <w:tc>
          <w:tcPr>
            <w:tcW w:type="dxa" w:w="794"/>
            <w:vAlign w:val="center"/>
          </w:tcPr>
          <w:p>
            <w:pPr>
              <w:spacing w:after="0"/>
              <w:jc w:val="center"/>
            </w:pPr>
            <w:r>
              <w:rPr>
                <w:rFonts w:ascii="游ゴシック" w:hAnsi="游ゴシック" w:eastAsia="游ゴシック"/>
                <w:b w:val="0"/>
                <w:sz w:val="16"/>
              </w:rPr>
              <w:t>No.21</w:t>
            </w:r>
          </w:p>
        </w:tc>
        <w:tc>
          <w:tcPr>
            <w:tcW w:type="dxa" w:w="2608"/>
            <w:vAlign w:val="center"/>
          </w:tcPr>
          <w:p>
            <w:pPr>
              <w:spacing w:after="0"/>
            </w:pPr>
            <w:r>
              <w:rPr>
                <w:rFonts w:ascii="游ゴシック" w:hAnsi="游ゴシック" w:eastAsia="游ゴシック"/>
                <w:b w:val="0"/>
                <w:sz w:val="16"/>
              </w:rPr>
              <w:t>成果品の仕様</w:t>
            </w:r>
          </w:p>
        </w:tc>
        <w:tc>
          <w:tcPr>
            <w:tcW w:type="dxa" w:w="4649"/>
            <w:vAlign w:val="center"/>
          </w:tcPr>
          <w:p>
            <w:pPr>
              <w:spacing w:after="0"/>
            </w:pPr>
            <w:r>
              <w:rPr>
                <w:rFonts w:ascii="游ゴシック" w:hAnsi="游ゴシック" w:eastAsia="游ゴシック"/>
                <w:b w:val="0"/>
                <w:sz w:val="16"/>
              </w:rPr>
              <w:t>成果品の仕様は仕様書の定めによる</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No.23</w:t>
            </w:r>
          </w:p>
        </w:tc>
        <w:tc>
          <w:tcPr>
            <w:tcW w:type="dxa" w:w="2608"/>
            <w:shd w:val="clear" w:color="auto" w:fill="F2F5FA"/>
            <w:vAlign w:val="center"/>
          </w:tcPr>
          <w:p>
            <w:pPr>
              <w:spacing w:after="0"/>
            </w:pPr>
            <w:r>
              <w:rPr>
                <w:rFonts w:ascii="游ゴシック" w:hAnsi="游ゴシック" w:eastAsia="游ゴシック"/>
                <w:b w:val="0"/>
                <w:sz w:val="16"/>
              </w:rPr>
              <w:t>事業所の定員・稼働率データ</w:t>
            </w:r>
          </w:p>
        </w:tc>
        <w:tc>
          <w:tcPr>
            <w:tcW w:type="dxa" w:w="4649"/>
            <w:shd w:val="clear" w:color="auto" w:fill="F2F5FA"/>
            <w:vAlign w:val="center"/>
          </w:tcPr>
          <w:p>
            <w:pPr>
              <w:spacing w:after="0"/>
            </w:pPr>
            <w:r>
              <w:rPr>
                <w:rFonts w:ascii="游ゴシック" w:hAnsi="游ゴシック" w:eastAsia="游ゴシック"/>
                <w:b w:val="0"/>
                <w:sz w:val="16"/>
              </w:rPr>
              <w:t>事業所の定員は北海道の各名簿及び介護サービス情報公表システムによることとし、未確認のものは［要確認］として残した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No.26</w:t>
            </w:r>
          </w:p>
        </w:tc>
        <w:tc>
          <w:tcPr>
            <w:tcW w:type="dxa" w:w="2608"/>
            <w:vAlign w:val="center"/>
          </w:tcPr>
          <w:p>
            <w:pPr>
              <w:spacing w:after="0"/>
            </w:pPr>
            <w:r>
              <w:rPr>
                <w:rFonts w:ascii="游ゴシック" w:hAnsi="游ゴシック" w:eastAsia="游ゴシック"/>
                <w:b w:val="0"/>
                <w:sz w:val="16"/>
              </w:rPr>
              <w:t>認知症・医療介護連携の実績データ</w:t>
            </w:r>
          </w:p>
        </w:tc>
        <w:tc>
          <w:tcPr>
            <w:tcW w:type="dxa" w:w="4649"/>
            <w:vAlign w:val="center"/>
          </w:tcPr>
          <w:p>
            <w:pPr>
              <w:spacing w:after="0"/>
            </w:pPr>
            <w:r>
              <w:rPr>
                <w:rFonts w:ascii="游ゴシック" w:hAnsi="游ゴシック" w:eastAsia="游ゴシック"/>
                <w:b w:val="0"/>
                <w:sz w:val="16"/>
              </w:rPr>
              <w:t>認知症・医療介護連携の実績は、交付金の評価結果及び3町の地域包括支援センター事業実施報告書の範囲で記述した</w:t>
            </w:r>
          </w:p>
        </w:tc>
        <w:tc>
          <w:tcPr>
            <w:tcW w:type="dxa" w:w="1701"/>
            <w:vAlign w:val="center"/>
          </w:tcPr>
          <w:p>
            <w:pPr>
              <w:spacing w:after="0"/>
            </w:pPr>
            <w:r>
              <w:rPr>
                <w:rFonts w:ascii="游ゴシック" w:hAnsi="游ゴシック" w:eastAsia="游ゴシック"/>
                <w:b w:val="0"/>
                <w:sz w:val="16"/>
              </w:rPr>
              <w:t>第5章 基本目標2・基本目標3</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No.29</w:t>
            </w:r>
          </w:p>
        </w:tc>
        <w:tc>
          <w:tcPr>
            <w:tcW w:type="dxa" w:w="2608"/>
            <w:shd w:val="clear" w:color="auto" w:fill="F2F5FA"/>
            <w:vAlign w:val="center"/>
          </w:tcPr>
          <w:p>
            <w:pPr>
              <w:spacing w:after="0"/>
            </w:pPr>
            <w:r>
              <w:rPr>
                <w:rFonts w:ascii="游ゴシック" w:hAnsi="游ゴシック" w:eastAsia="游ゴシック"/>
                <w:b w:val="0"/>
                <w:sz w:val="16"/>
              </w:rPr>
              <w:t>重度化の速度の前提</w:t>
            </w:r>
          </w:p>
        </w:tc>
        <w:tc>
          <w:tcPr>
            <w:tcW w:type="dxa" w:w="4649"/>
            <w:shd w:val="clear" w:color="auto" w:fill="F2F5FA"/>
            <w:vAlign w:val="center"/>
          </w:tcPr>
          <w:p>
            <w:pPr>
              <w:spacing w:after="0"/>
            </w:pPr>
            <w:r>
              <w:rPr>
                <w:rFonts w:ascii="游ゴシック" w:hAnsi="游ゴシック" w:eastAsia="游ゴシック"/>
                <w:b w:val="0"/>
                <w:sz w:val="16"/>
              </w:rPr>
              <w:t>年齢階級ごとの要介護度の構成を令和7年度末の実績で固定し、重度化は人口の高齢化による分のみを見込んだ</w:t>
            </w:r>
          </w:p>
        </w:tc>
        <w:tc>
          <w:tcPr>
            <w:tcW w:type="dxa" w:w="1701"/>
            <w:shd w:val="clear" w:color="auto" w:fill="F2F5FA"/>
            <w:vAlign w:val="center"/>
          </w:tcPr>
          <w:p>
            <w:pPr>
              <w:spacing w:after="0"/>
            </w:pPr>
            <w:r>
              <w:rPr>
                <w:rFonts w:ascii="游ゴシック" w:hAnsi="游ゴシック" w:eastAsia="游ゴシック"/>
                <w:b w:val="0"/>
                <w:sz w:val="16"/>
              </w:rPr>
              <w:t>第6章第1節</w:t>
            </w:r>
          </w:p>
        </w:tc>
      </w:tr>
      <w:tr>
        <w:trPr>
          <w:cantSplit/>
        </w:trPr>
        <w:tc>
          <w:tcPr>
            <w:tcW w:type="dxa" w:w="794"/>
            <w:vAlign w:val="center"/>
          </w:tcPr>
          <w:p>
            <w:pPr>
              <w:spacing w:after="0"/>
              <w:jc w:val="center"/>
            </w:pPr>
            <w:r>
              <w:rPr>
                <w:rFonts w:ascii="游ゴシック" w:hAnsi="游ゴシック" w:eastAsia="游ゴシック"/>
                <w:b w:val="0"/>
                <w:sz w:val="16"/>
              </w:rPr>
              <w:t>No.31</w:t>
            </w:r>
          </w:p>
        </w:tc>
        <w:tc>
          <w:tcPr>
            <w:tcW w:type="dxa" w:w="2608"/>
            <w:vAlign w:val="center"/>
          </w:tcPr>
          <w:p>
            <w:pPr>
              <w:spacing w:after="0"/>
            </w:pPr>
            <w:r>
              <w:rPr>
                <w:rFonts w:ascii="游ゴシック" w:hAnsi="游ゴシック" w:eastAsia="游ゴシック"/>
                <w:b w:val="0"/>
                <w:sz w:val="16"/>
              </w:rPr>
              <w:t>給付適正化の実施予定と推計での扱い</w:t>
            </w:r>
          </w:p>
        </w:tc>
        <w:tc>
          <w:tcPr>
            <w:tcW w:type="dxa" w:w="4649"/>
            <w:vAlign w:val="center"/>
          </w:tcPr>
          <w:p>
            <w:pPr>
              <w:spacing w:after="0"/>
            </w:pPr>
            <w:r>
              <w:rPr>
                <w:rFonts w:ascii="游ゴシック" w:hAnsi="游ゴシック" w:eastAsia="游ゴシック"/>
                <w:b w:val="0"/>
                <w:sz w:val="16"/>
              </w:rPr>
              <w:t>給付適正化による抑制を推計に織り込まず、対象サービスの割合と10％抑制の効きを併記した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No.74</w:t>
            </w:r>
          </w:p>
        </w:tc>
        <w:tc>
          <w:tcPr>
            <w:tcW w:type="dxa" w:w="2608"/>
            <w:shd w:val="clear" w:color="auto" w:fill="F2F5FA"/>
            <w:vAlign w:val="center"/>
          </w:tcPr>
          <w:p>
            <w:pPr>
              <w:spacing w:after="0"/>
            </w:pPr>
            <w:r>
              <w:rPr>
                <w:rFonts w:ascii="游ゴシック" w:hAnsi="游ゴシック" w:eastAsia="游ゴシック"/>
                <w:b w:val="0"/>
                <w:sz w:val="16"/>
              </w:rPr>
              <w:t>有料老人ホーム等の家賃等の情報収集（北海道）</w:t>
            </w:r>
          </w:p>
        </w:tc>
        <w:tc>
          <w:tcPr>
            <w:tcW w:type="dxa" w:w="4649"/>
            <w:shd w:val="clear" w:color="auto" w:fill="F2F5FA"/>
            <w:vAlign w:val="center"/>
          </w:tcPr>
          <w:p>
            <w:pPr>
              <w:spacing w:after="0"/>
            </w:pPr>
            <w:r>
              <w:rPr>
                <w:rFonts w:ascii="游ゴシック" w:hAnsi="游ゴシック" w:eastAsia="游ゴシック"/>
                <w:b w:val="0"/>
                <w:sz w:val="16"/>
              </w:rPr>
              <w:t>家賃等の費用の水準は北海道における情報の収集を確認できないため把握しておらず、費用の面からの選択は扱っていない旨を注に明示した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第2章第3節6</w:t>
            </w:r>
          </w:p>
        </w:tc>
      </w:tr>
      <w:tr>
        <w:trPr>
          <w:cantSplit/>
        </w:trPr>
        <w:tc>
          <w:tcPr>
            <w:tcW w:type="dxa" w:w="794"/>
            <w:vAlign w:val="center"/>
          </w:tcPr>
          <w:p>
            <w:pPr>
              <w:spacing w:after="0"/>
              <w:jc w:val="center"/>
            </w:pPr>
            <w:r>
              <w:rPr>
                <w:rFonts w:ascii="游ゴシック" w:hAnsi="游ゴシック" w:eastAsia="游ゴシック"/>
                <w:b w:val="0"/>
                <w:sz w:val="16"/>
              </w:rPr>
              <w:t>No.144</w:t>
            </w:r>
          </w:p>
        </w:tc>
        <w:tc>
          <w:tcPr>
            <w:tcW w:type="dxa" w:w="2608"/>
            <w:vAlign w:val="center"/>
          </w:tcPr>
          <w:p>
            <w:pPr>
              <w:spacing w:after="0"/>
            </w:pPr>
            <w:r>
              <w:rPr>
                <w:rFonts w:ascii="游ゴシック" w:hAnsi="游ゴシック" w:eastAsia="游ゴシック"/>
                <w:b w:val="0"/>
                <w:sz w:val="16"/>
              </w:rPr>
              <w:t>統合した成果品の元の資料を残すか</w:t>
            </w:r>
          </w:p>
        </w:tc>
        <w:tc>
          <w:tcPr>
            <w:tcW w:type="dxa" w:w="4649"/>
            <w:vAlign w:val="center"/>
          </w:tcPr>
          <w:p>
            <w:pPr>
              <w:spacing w:after="0"/>
            </w:pPr>
            <w:r>
              <w:rPr>
                <w:rFonts w:ascii="游ゴシック" w:hAnsi="游ゴシック" w:eastAsia="游ゴシック"/>
                <w:b w:val="0"/>
                <w:sz w:val="16"/>
              </w:rPr>
              <w:t>統合した成果品の元の資料を残す</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No.156</w:t>
            </w:r>
          </w:p>
        </w:tc>
        <w:tc>
          <w:tcPr>
            <w:tcW w:type="dxa" w:w="2608"/>
            <w:shd w:val="clear" w:color="auto" w:fill="F2F5FA"/>
            <w:vAlign w:val="center"/>
          </w:tcPr>
          <w:p>
            <w:pPr>
              <w:spacing w:after="0"/>
            </w:pPr>
            <w:r>
              <w:rPr>
                <w:rFonts w:ascii="游ゴシック" w:hAnsi="游ゴシック" w:eastAsia="游ゴシック"/>
                <w:b w:val="0"/>
                <w:sz w:val="16"/>
              </w:rPr>
              <w:t>所得段階別第1号被保険者数の将来8年度分を当方で算定してよいか</w:t>
            </w:r>
          </w:p>
        </w:tc>
        <w:tc>
          <w:tcPr>
            <w:tcW w:type="dxa" w:w="4649"/>
            <w:shd w:val="clear" w:color="auto" w:fill="F2F5FA"/>
            <w:vAlign w:val="center"/>
          </w:tcPr>
          <w:p>
            <w:pPr>
              <w:spacing w:after="0"/>
            </w:pPr>
            <w:r>
              <w:rPr>
                <w:rFonts w:ascii="游ゴシック" w:hAnsi="游ゴシック" w:eastAsia="游ゴシック"/>
                <w:b w:val="0"/>
                <w:sz w:val="16"/>
              </w:rPr>
              <w:t>所得段階別第1号被保険者数は当方の算定（16段階×8年度）により、所得段階の設定は弾力化を選ぶ</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No.169</w:t>
            </w:r>
          </w:p>
        </w:tc>
        <w:tc>
          <w:tcPr>
            <w:tcW w:type="dxa" w:w="2608"/>
            <w:vAlign w:val="center"/>
          </w:tcPr>
          <w:p>
            <w:pPr>
              <w:spacing w:after="0"/>
            </w:pPr>
            <w:r>
              <w:rPr>
                <w:rFonts w:ascii="游ゴシック" w:hAnsi="游ゴシック" w:eastAsia="游ゴシック"/>
                <w:b w:val="0"/>
                <w:sz w:val="16"/>
              </w:rPr>
              <w:t>構成町により得点が分かれている項目の区域内での取扱い</w:t>
            </w:r>
          </w:p>
        </w:tc>
        <w:tc>
          <w:tcPr>
            <w:tcW w:type="dxa" w:w="4649"/>
            <w:vAlign w:val="center"/>
          </w:tcPr>
          <w:p>
            <w:pPr>
              <w:spacing w:after="0"/>
            </w:pPr>
            <w:r>
              <w:rPr>
                <w:rFonts w:ascii="游ゴシック" w:hAnsi="游ゴシック" w:eastAsia="游ゴシック"/>
                <w:b w:val="0"/>
                <w:sz w:val="16"/>
              </w:rPr>
              <w:t>町ごとの取組の状況をそのまま記述し、区域内での統一は計画に位置づけていない</w:t>
            </w:r>
          </w:p>
        </w:tc>
        <w:tc>
          <w:tcPr>
            <w:tcW w:type="dxa" w:w="1701"/>
            <w:vAlign w:val="center"/>
          </w:tcPr>
          <w:p>
            <w:pPr>
              <w:spacing w:after="0"/>
            </w:pPr>
            <w:r>
              <w:rPr>
                <w:rFonts w:ascii="游ゴシック" w:hAnsi="游ゴシック" w:eastAsia="游ゴシック"/>
                <w:b w:val="0"/>
                <w:sz w:val="16"/>
              </w:rPr>
              <w:t>第3章第2節・第5章 基本目標2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No.171</w:t>
            </w:r>
          </w:p>
        </w:tc>
        <w:tc>
          <w:tcPr>
            <w:tcW w:type="dxa" w:w="2608"/>
            <w:shd w:val="clear" w:color="auto" w:fill="F2F5FA"/>
            <w:vAlign w:val="center"/>
          </w:tcPr>
          <w:p>
            <w:pPr>
              <w:spacing w:after="0"/>
            </w:pPr>
            <w:r>
              <w:rPr>
                <w:rFonts w:ascii="游ゴシック" w:hAnsi="游ゴシック" w:eastAsia="游ゴシック"/>
                <w:b w:val="0"/>
                <w:sz w:val="16"/>
              </w:rPr>
              <w:t>第9期計画にない体裁の取扱い（小見出し【　】ほか）</w:t>
            </w:r>
          </w:p>
        </w:tc>
        <w:tc>
          <w:tcPr>
            <w:tcW w:type="dxa" w:w="4649"/>
            <w:shd w:val="clear" w:color="auto" w:fill="F2F5FA"/>
            <w:vAlign w:val="center"/>
          </w:tcPr>
          <w:p>
            <w:pPr>
              <w:spacing w:after="0"/>
            </w:pPr>
            <w:r>
              <w:rPr>
                <w:rFonts w:ascii="游ゴシック" w:hAnsi="游ゴシック" w:eastAsia="游ゴシック"/>
                <w:b w:val="0"/>
                <w:sz w:val="16"/>
              </w:rPr>
              <w:t>第9期計画にない体裁は現在のままとし、計画として確定する前に改めてお諮りする</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No.173</w:t>
            </w:r>
          </w:p>
        </w:tc>
        <w:tc>
          <w:tcPr>
            <w:tcW w:type="dxa" w:w="2608"/>
            <w:vAlign w:val="center"/>
          </w:tcPr>
          <w:p>
            <w:pPr>
              <w:spacing w:after="0"/>
            </w:pPr>
            <w:r>
              <w:rPr>
                <w:rFonts w:ascii="游ゴシック" w:hAnsi="游ゴシック" w:eastAsia="游ゴシック"/>
                <w:b w:val="0"/>
                <w:sz w:val="16"/>
              </w:rPr>
              <w:t>計画本文の図と別冊の図表集の対応（作りが異なるもの・図表集にないもの）</w:t>
            </w:r>
          </w:p>
        </w:tc>
        <w:tc>
          <w:tcPr>
            <w:tcW w:type="dxa" w:w="4649"/>
            <w:vAlign w:val="center"/>
          </w:tcPr>
          <w:p>
            <w:pPr>
              <w:spacing w:after="0"/>
            </w:pPr>
            <w:r>
              <w:rPr>
                <w:rFonts w:ascii="游ゴシック" w:hAnsi="游ゴシック" w:eastAsia="游ゴシック"/>
                <w:b w:val="0"/>
                <w:sz w:val="16"/>
              </w:rPr>
              <w:t>本文の図と別冊の図表集の対応は現行のままとした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No.24</w:t>
            </w:r>
          </w:p>
        </w:tc>
        <w:tc>
          <w:tcPr>
            <w:tcW w:type="dxa" w:w="2608"/>
            <w:shd w:val="clear" w:color="auto" w:fill="F2F5FA"/>
            <w:vAlign w:val="center"/>
          </w:tcPr>
          <w:p>
            <w:pPr>
              <w:spacing w:after="0"/>
            </w:pPr>
            <w:r>
              <w:rPr>
                <w:rFonts w:ascii="游ゴシック" w:hAnsi="游ゴシック" w:eastAsia="游ゴシック"/>
                <w:b w:val="0"/>
                <w:sz w:val="16"/>
              </w:rPr>
              <w:t>24時間対応サービスの確保方策の決定</w:t>
            </w:r>
          </w:p>
        </w:tc>
        <w:tc>
          <w:tcPr>
            <w:tcW w:type="dxa" w:w="4649"/>
            <w:shd w:val="clear" w:color="auto" w:fill="F2F5FA"/>
            <w:vAlign w:val="center"/>
          </w:tcPr>
          <w:p>
            <w:pPr>
              <w:spacing w:after="0"/>
            </w:pPr>
            <w:r>
              <w:rPr>
                <w:rFonts w:ascii="游ゴシック" w:hAnsi="游ゴシック" w:eastAsia="游ゴシック"/>
                <w:b w:val="0"/>
                <w:sz w:val="16"/>
              </w:rPr>
              <w:t>24時間対応サービスは自然体の算定値を置き、整備による上乗せを行わなかった</w:t>
            </w:r>
          </w:p>
        </w:tc>
        <w:tc>
          <w:tcPr>
            <w:tcW w:type="dxa" w:w="1701"/>
            <w:shd w:val="clear" w:color="auto" w:fill="F2F5FA"/>
            <w:vAlign w:val="center"/>
          </w:tcPr>
          <w:p>
            <w:pPr>
              <w:spacing w:after="0"/>
            </w:pPr>
            <w:r>
              <w:rPr>
                <w:rFonts w:ascii="游ゴシック" w:hAnsi="游ゴシック" w:eastAsia="游ゴシック"/>
                <w:b w:val="0"/>
                <w:sz w:val="16"/>
              </w:rPr>
              <w:t>第6章第2節・第4節1</w:t>
            </w:r>
          </w:p>
        </w:tc>
      </w:tr>
      <w:tr>
        <w:trPr>
          <w:cantSplit/>
        </w:trPr>
        <w:tc>
          <w:tcPr>
            <w:tcW w:type="dxa" w:w="794"/>
            <w:vAlign w:val="center"/>
          </w:tcPr>
          <w:p>
            <w:pPr>
              <w:spacing w:after="0"/>
              <w:jc w:val="center"/>
            </w:pPr>
            <w:r>
              <w:rPr>
                <w:rFonts w:ascii="游ゴシック" w:hAnsi="游ゴシック" w:eastAsia="游ゴシック"/>
                <w:b w:val="0"/>
                <w:sz w:val="16"/>
              </w:rPr>
              <w:t>No.25</w:t>
            </w:r>
          </w:p>
        </w:tc>
        <w:tc>
          <w:tcPr>
            <w:tcW w:type="dxa" w:w="2608"/>
            <w:vAlign w:val="center"/>
          </w:tcPr>
          <w:p>
            <w:pPr>
              <w:spacing w:after="0"/>
            </w:pPr>
            <w:r>
              <w:rPr>
                <w:rFonts w:ascii="游ゴシック" w:hAnsi="游ゴシック" w:eastAsia="游ゴシック"/>
                <w:b w:val="0"/>
                <w:sz w:val="16"/>
              </w:rPr>
              <w:t>代表KPIの目標値の決定</w:t>
            </w:r>
          </w:p>
        </w:tc>
        <w:tc>
          <w:tcPr>
            <w:tcW w:type="dxa" w:w="4649"/>
            <w:vAlign w:val="center"/>
          </w:tcPr>
          <w:p>
            <w:pPr>
              <w:spacing w:after="0"/>
            </w:pPr>
            <w:r>
              <w:rPr>
                <w:rFonts w:ascii="游ゴシック" w:hAnsi="游ゴシック" w:eastAsia="游ゴシック"/>
                <w:b w:val="0"/>
                <w:sz w:val="16"/>
              </w:rPr>
              <w:t>代表KPIのうち基準値のないものは令和9年度を基準値の把握に充て、令和10年度・令和11年度に目標値を置くこととした</w:t>
            </w:r>
          </w:p>
        </w:tc>
        <w:tc>
          <w:tcPr>
            <w:tcW w:type="dxa" w:w="1701"/>
            <w:vAlign w:val="center"/>
          </w:tcPr>
          <w:p>
            <w:pPr>
              <w:spacing w:after="0"/>
            </w:pPr>
            <w:r>
              <w:rPr>
                <w:rFonts w:ascii="游ゴシック" w:hAnsi="游ゴシック" w:eastAsia="游ゴシック"/>
                <w:b w:val="0"/>
                <w:sz w:val="16"/>
              </w:rPr>
              <w:t>第4章第3節・第5章</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No.175</w:t>
            </w:r>
          </w:p>
        </w:tc>
        <w:tc>
          <w:tcPr>
            <w:tcW w:type="dxa" w:w="2608"/>
            <w:shd w:val="clear" w:color="auto" w:fill="F2F5FA"/>
            <w:vAlign w:val="center"/>
          </w:tcPr>
          <w:p>
            <w:pPr>
              <w:spacing w:after="0"/>
            </w:pPr>
            <w:r>
              <w:rPr>
                <w:rFonts w:ascii="游ゴシック" w:hAnsi="游ゴシック" w:eastAsia="游ゴシック"/>
                <w:b w:val="0"/>
                <w:sz w:val="16"/>
              </w:rPr>
              <w:t>介護情報基盤及びケアプランデータ連携への対応の工程</w:t>
            </w:r>
          </w:p>
        </w:tc>
        <w:tc>
          <w:tcPr>
            <w:tcW w:type="dxa" w:w="4649"/>
            <w:shd w:val="clear" w:color="auto" w:fill="F2F5FA"/>
            <w:vAlign w:val="center"/>
          </w:tcPr>
          <w:p>
            <w:pPr>
              <w:spacing w:after="0"/>
            </w:pPr>
            <w:r>
              <w:rPr>
                <w:rFonts w:ascii="游ゴシック" w:hAnsi="游ゴシック" w:eastAsia="游ゴシック"/>
                <w:b w:val="0"/>
                <w:sz w:val="16"/>
              </w:rPr>
              <w:t>介護情報基盤の活用は本格運用開始日（令和10年4月1日）までに完了することを前提として記載し、年度ごとの事務の工程は［要確認］として残した。事業所への周知と登録の支援は広域連合・3町・事業者が担うものとして掲げ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基本目標1・基本目標4</w:t>
            </w:r>
          </w:p>
        </w:tc>
      </w:tr>
      <w:tr>
        <w:trPr>
          <w:cantSplit/>
        </w:trPr>
        <w:tc>
          <w:tcPr>
            <w:tcW w:type="dxa" w:w="794"/>
            <w:vAlign w:val="center"/>
          </w:tcPr>
          <w:p>
            <w:pPr>
              <w:spacing w:after="0"/>
              <w:jc w:val="center"/>
            </w:pPr>
            <w:r>
              <w:rPr>
                <w:rFonts w:ascii="游ゴシック" w:hAnsi="游ゴシック" w:eastAsia="游ゴシック"/>
                <w:b w:val="0"/>
                <w:sz w:val="16"/>
              </w:rPr>
              <w:t>No.176</w:t>
            </w:r>
          </w:p>
        </w:tc>
        <w:tc>
          <w:tcPr>
            <w:tcW w:type="dxa" w:w="2608"/>
            <w:vAlign w:val="center"/>
          </w:tcPr>
          <w:p>
            <w:pPr>
              <w:spacing w:after="0"/>
            </w:pPr>
            <w:r>
              <w:rPr>
                <w:rFonts w:ascii="游ゴシック" w:hAnsi="游ゴシック" w:eastAsia="游ゴシック"/>
                <w:b w:val="0"/>
                <w:sz w:val="16"/>
              </w:rPr>
              <w:t>介護サービス事業者経営情報データベースの公表結果の活用の範囲</w:t>
            </w:r>
          </w:p>
        </w:tc>
        <w:tc>
          <w:tcPr>
            <w:tcW w:type="dxa" w:w="4649"/>
            <w:vAlign w:val="center"/>
          </w:tcPr>
          <w:p>
            <w:pPr>
              <w:spacing w:after="0"/>
            </w:pPr>
            <w:r>
              <w:rPr>
                <w:rFonts w:ascii="游ゴシック" w:hAnsi="游ゴシック" w:eastAsia="游ゴシック"/>
                <w:b w:val="0"/>
                <w:sz w:val="16"/>
              </w:rPr>
              <w:t>介護サービス事業者経営情報データベースは活用の方針のみを記載し、数値は掲げていない。用いられる範囲を確認して用いる旨を［要確認］として残した</w:t>
            </w:r>
          </w:p>
        </w:tc>
        <w:tc>
          <w:tcPr>
            <w:tcW w:type="dxa" w:w="1701"/>
            <w:vAlign w:val="center"/>
          </w:tcPr>
          <w:p>
            <w:pPr>
              <w:spacing w:after="0"/>
            </w:pPr>
            <w:r>
              <w:rPr>
                <w:rFonts w:ascii="游ゴシック" w:hAnsi="游ゴシック" w:eastAsia="游ゴシック"/>
                <w:b w:val="0"/>
                <w:sz w:val="16"/>
              </w:rPr>
              <w:t>第1章第9節5・第5章 基本目標4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No.177</w:t>
            </w:r>
          </w:p>
        </w:tc>
        <w:tc>
          <w:tcPr>
            <w:tcW w:type="dxa" w:w="2608"/>
            <w:shd w:val="clear" w:color="auto" w:fill="F2F5FA"/>
            <w:vAlign w:val="center"/>
          </w:tcPr>
          <w:p>
            <w:pPr>
              <w:spacing w:after="0"/>
            </w:pPr>
            <w:r>
              <w:rPr>
                <w:rFonts w:ascii="游ゴシック" w:hAnsi="游ゴシック" w:eastAsia="游ゴシック"/>
                <w:b w:val="0"/>
                <w:sz w:val="16"/>
              </w:rPr>
              <w:t>都道府県との協定に基づく連携への関与</w:t>
            </w:r>
          </w:p>
        </w:tc>
        <w:tc>
          <w:tcPr>
            <w:tcW w:type="dxa" w:w="4649"/>
            <w:shd w:val="clear" w:color="auto" w:fill="F2F5FA"/>
            <w:vAlign w:val="center"/>
          </w:tcPr>
          <w:p>
            <w:pPr>
              <w:spacing w:after="0"/>
            </w:pPr>
            <w:r>
              <w:rPr>
                <w:rFonts w:ascii="游ゴシック" w:hAnsi="游ゴシック" w:eastAsia="游ゴシック"/>
                <w:b w:val="0"/>
                <w:sz w:val="16"/>
              </w:rPr>
              <w:t>都道府県との協定に基づく連携は北海道及び事業者とともに活用を検討する旨のみを記載し、市町村の役割が示された時点で関与の仕方を定めることとした</w:t>
            </w:r>
          </w:p>
        </w:tc>
        <w:tc>
          <w:tcPr>
            <w:tcW w:type="dxa" w:w="1701"/>
            <w:shd w:val="clear" w:color="auto" w:fill="F2F5FA"/>
            <w:vAlign w:val="center"/>
          </w:tcPr>
          <w:p>
            <w:pPr>
              <w:spacing w:after="0"/>
            </w:pPr>
            <w:r>
              <w:rPr>
                <w:rFonts w:ascii="游ゴシック" w:hAnsi="游ゴシック" w:eastAsia="游ゴシック"/>
                <w:b w:val="0"/>
                <w:sz w:val="16"/>
              </w:rPr>
              <w:t>第1章第9節5・第5章 基本目標3・基本目標4</w:t>
            </w:r>
          </w:p>
        </w:tc>
      </w:tr>
      <w:tr>
        <w:trPr>
          <w:cantSplit/>
        </w:trPr>
        <w:tc>
          <w:tcPr>
            <w:tcW w:type="dxa" w:w="794"/>
            <w:vAlign w:val="center"/>
          </w:tcPr>
          <w:p>
            <w:pPr>
              <w:spacing w:after="0"/>
              <w:jc w:val="center"/>
            </w:pPr>
            <w:r>
              <w:rPr>
                <w:rFonts w:ascii="游ゴシック" w:hAnsi="游ゴシック" w:eastAsia="游ゴシック"/>
                <w:b w:val="0"/>
                <w:sz w:val="16"/>
              </w:rPr>
              <w:t>No.178</w:t>
            </w:r>
          </w:p>
        </w:tc>
        <w:tc>
          <w:tcPr>
            <w:tcW w:type="dxa" w:w="2608"/>
            <w:vAlign w:val="center"/>
          </w:tcPr>
          <w:p>
            <w:pPr>
              <w:spacing w:after="0"/>
            </w:pPr>
            <w:r>
              <w:rPr>
                <w:rFonts w:ascii="游ゴシック" w:hAnsi="游ゴシック" w:eastAsia="游ゴシック"/>
                <w:b w:val="0"/>
                <w:sz w:val="16"/>
              </w:rPr>
              <w:t>構成3町の高齢者福祉計画と市町村老人福祉計画の関係</w:t>
            </w:r>
          </w:p>
        </w:tc>
        <w:tc>
          <w:tcPr>
            <w:tcW w:type="dxa" w:w="4649"/>
            <w:vAlign w:val="center"/>
          </w:tcPr>
          <w:p>
            <w:pPr>
              <w:spacing w:after="0"/>
            </w:pPr>
            <w:r>
              <w:rPr>
                <w:rFonts w:ascii="游ゴシック" w:hAnsi="游ゴシック" w:eastAsia="游ゴシック"/>
                <w:b w:val="0"/>
                <w:sz w:val="16"/>
              </w:rPr>
              <w:t>構成3町の高齢者福祉計画が老人福祉法第20条の8の市町村老人福祉計画に当たり、介護保険事業計画と一体のものとして作成することとされていることを記載した。一体のものとする方法は［要協議］として残した</w:t>
            </w:r>
          </w:p>
        </w:tc>
        <w:tc>
          <w:tcPr>
            <w:tcW w:type="dxa" w:w="1701"/>
            <w:vAlign w:val="center"/>
          </w:tcPr>
          <w:p>
            <w:pPr>
              <w:spacing w:after="0"/>
            </w:pPr>
            <w:r>
              <w:rPr>
                <w:rFonts w:ascii="游ゴシック" w:hAnsi="游ゴシック" w:eastAsia="游ゴシック"/>
                <w:b w:val="0"/>
                <w:sz w:val="16"/>
              </w:rPr>
              <w:t>第1章第2節・第1章第8節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No.179</w:t>
            </w:r>
          </w:p>
        </w:tc>
        <w:tc>
          <w:tcPr>
            <w:tcW w:type="dxa" w:w="2608"/>
            <w:shd w:val="clear" w:color="auto" w:fill="F2F5FA"/>
            <w:vAlign w:val="center"/>
          </w:tcPr>
          <w:p>
            <w:pPr>
              <w:spacing w:after="0"/>
            </w:pPr>
            <w:r>
              <w:rPr>
                <w:rFonts w:ascii="游ゴシック" w:hAnsi="游ゴシック" w:eastAsia="游ゴシック"/>
                <w:b w:val="0"/>
                <w:sz w:val="16"/>
              </w:rPr>
              <w:t>成年後見制度の利用の促進に関する施策についての基本的な計画の策定状況</w:t>
            </w:r>
          </w:p>
        </w:tc>
        <w:tc>
          <w:tcPr>
            <w:tcW w:type="dxa" w:w="4649"/>
            <w:shd w:val="clear" w:color="auto" w:fill="F2F5FA"/>
            <w:vAlign w:val="center"/>
          </w:tcPr>
          <w:p>
            <w:pPr>
              <w:spacing w:after="0"/>
            </w:pPr>
            <w:r>
              <w:rPr>
                <w:rFonts w:ascii="游ゴシック" w:hAnsi="游ゴシック" w:eastAsia="游ゴシック"/>
                <w:b w:val="0"/>
                <w:sz w:val="16"/>
              </w:rPr>
              <w:t>成年後見制度の利用の促進に関する法律第14条による計画は構成3町が定めるものとして記載し、本計画は権利擁護の施策をもって接続することとした。中核機関の整備の状況は［要確認］として残した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第1章第2節・第5章 基本目標1</w:t>
            </w:r>
          </w:p>
        </w:tc>
      </w:tr>
      <w:tr>
        <w:trPr>
          <w:cantSplit/>
        </w:trPr>
        <w:tc>
          <w:tcPr>
            <w:tcW w:type="dxa" w:w="794"/>
            <w:vAlign w:val="center"/>
          </w:tcPr>
          <w:p>
            <w:pPr>
              <w:spacing w:after="0"/>
              <w:jc w:val="center"/>
            </w:pPr>
            <w:r>
              <w:rPr>
                <w:rFonts w:ascii="游ゴシック" w:hAnsi="游ゴシック" w:eastAsia="游ゴシック"/>
                <w:b w:val="0"/>
                <w:sz w:val="16"/>
              </w:rPr>
              <w:t>No.180</w:t>
            </w:r>
          </w:p>
        </w:tc>
        <w:tc>
          <w:tcPr>
            <w:tcW w:type="dxa" w:w="2608"/>
            <w:vAlign w:val="center"/>
          </w:tcPr>
          <w:p>
            <w:pPr>
              <w:spacing w:after="0"/>
            </w:pPr>
            <w:r>
              <w:rPr>
                <w:rFonts w:ascii="游ゴシック" w:hAnsi="游ゴシック" w:eastAsia="游ゴシック"/>
                <w:b w:val="0"/>
                <w:sz w:val="16"/>
              </w:rPr>
              <w:t>要配慮者利用施設の避難確保計画の対象施設と作成状況</w:t>
            </w:r>
          </w:p>
        </w:tc>
        <w:tc>
          <w:tcPr>
            <w:tcW w:type="dxa" w:w="4649"/>
            <w:vAlign w:val="center"/>
          </w:tcPr>
          <w:p>
            <w:pPr>
              <w:spacing w:after="0"/>
            </w:pPr>
            <w:r>
              <w:rPr>
                <w:rFonts w:ascii="游ゴシック" w:hAnsi="游ゴシック" w:eastAsia="游ゴシック"/>
                <w:b w:val="0"/>
                <w:sz w:val="16"/>
              </w:rPr>
              <w:t>要配慮者利用施設の避難確保計画を主な事業に置き、避難確保計画は業務継続計画とは別の計画であるため業務継続計画の策定率をもって作成の状況としないことを明記した。対象施設及び作成の状況は［要確認］として残した</w:t>
            </w:r>
          </w:p>
        </w:tc>
        <w:tc>
          <w:tcPr>
            <w:tcW w:type="dxa" w:w="1701"/>
            <w:vAlign w:val="center"/>
          </w:tcPr>
          <w:p>
            <w:pPr>
              <w:spacing w:after="0"/>
            </w:pPr>
            <w:r>
              <w:rPr>
                <w:rFonts w:ascii="游ゴシック" w:hAnsi="游ゴシック" w:eastAsia="游ゴシック"/>
                <w:b w:val="0"/>
                <w:sz w:val="16"/>
              </w:rPr>
              <w:t>第5章 基本目標5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No.182</w:t>
            </w:r>
          </w:p>
        </w:tc>
        <w:tc>
          <w:tcPr>
            <w:tcW w:type="dxa" w:w="2608"/>
            <w:shd w:val="clear" w:color="auto" w:fill="F2F5FA"/>
            <w:vAlign w:val="center"/>
          </w:tcPr>
          <w:p>
            <w:pPr>
              <w:spacing w:after="0"/>
            </w:pPr>
            <w:r>
              <w:rPr>
                <w:rFonts w:ascii="游ゴシック" w:hAnsi="游ゴシック" w:eastAsia="游ゴシック"/>
                <w:b w:val="0"/>
                <w:sz w:val="16"/>
              </w:rPr>
              <w:t>介護給付費分科会の資料（原本）のご提供</w:t>
            </w:r>
          </w:p>
        </w:tc>
        <w:tc>
          <w:tcPr>
            <w:tcW w:type="dxa" w:w="4649"/>
            <w:shd w:val="clear" w:color="auto" w:fill="F2F5FA"/>
            <w:vAlign w:val="center"/>
          </w:tcPr>
          <w:p>
            <w:pPr>
              <w:spacing w:after="0"/>
            </w:pPr>
            <w:r>
              <w:rPr>
                <w:rFonts w:ascii="游ゴシック" w:hAnsi="游ゴシック" w:eastAsia="游ゴシック"/>
                <w:b w:val="0"/>
                <w:sz w:val="16"/>
              </w:rPr>
              <w:t>社会保障審議会介護給付費分科会において検討されている事項があることまでを記載し、単位数、算定の要件及び施行の時期は書いていない</w:t>
            </w:r>
          </w:p>
        </w:tc>
        <w:tc>
          <w:tcPr>
            <w:tcW w:type="dxa" w:w="1701"/>
            <w:shd w:val="clear" w:color="auto" w:fill="F2F5FA"/>
            <w:vAlign w:val="center"/>
          </w:tcPr>
          <w:p>
            <w:pPr>
              <w:spacing w:after="0"/>
            </w:pPr>
            <w:r>
              <w:rPr>
                <w:rFonts w:ascii="游ゴシック" w:hAnsi="游ゴシック" w:eastAsia="游ゴシック"/>
                <w:b w:val="0"/>
                <w:sz w:val="16"/>
              </w:rPr>
              <w:t>第1章第9節6</w:t>
            </w:r>
          </w:p>
        </w:tc>
      </w:tr>
      <w:tr>
        <w:trPr>
          <w:cantSplit/>
        </w:trPr>
        <w:tc>
          <w:tcPr>
            <w:tcW w:type="dxa" w:w="794"/>
            <w:vAlign w:val="center"/>
          </w:tcPr>
          <w:p>
            <w:pPr>
              <w:spacing w:after="0"/>
              <w:jc w:val="center"/>
            </w:pPr>
            <w:r>
              <w:rPr>
                <w:rFonts w:ascii="游ゴシック" w:hAnsi="游ゴシック" w:eastAsia="游ゴシック"/>
                <w:b w:val="0"/>
                <w:sz w:val="16"/>
              </w:rPr>
              <w:t>No.183</w:t>
            </w:r>
          </w:p>
        </w:tc>
        <w:tc>
          <w:tcPr>
            <w:tcW w:type="dxa" w:w="2608"/>
            <w:vAlign w:val="center"/>
          </w:tcPr>
          <w:p>
            <w:pPr>
              <w:spacing w:after="0"/>
            </w:pPr>
            <w:r>
              <w:rPr>
                <w:rFonts w:ascii="游ゴシック" w:hAnsi="游ゴシック" w:eastAsia="游ゴシック"/>
                <w:b w:val="0"/>
                <w:sz w:val="16"/>
              </w:rPr>
              <w:t>夜間対応型訪問介護の定期巡回・随時対応型への移行の扱い</w:t>
            </w:r>
          </w:p>
        </w:tc>
        <w:tc>
          <w:tcPr>
            <w:tcW w:type="dxa" w:w="4649"/>
            <w:vAlign w:val="center"/>
          </w:tcPr>
          <w:p>
            <w:pPr>
              <w:spacing w:after="0"/>
            </w:pPr>
            <w:r>
              <w:rPr>
                <w:rFonts w:ascii="游ゴシック" w:hAnsi="游ゴシック" w:eastAsia="游ゴシック"/>
                <w:b w:val="0"/>
                <w:sz w:val="16"/>
              </w:rPr>
              <w:t>夜間対応型訪問介護は現行の区分のまま立て、令和9年4月1日に定期巡回・随時対応型訪問介護看護へ統合されることと、報酬上の経過措置の期限に2通りの記載があることを注に記載した</w:t>
            </w:r>
          </w:p>
        </w:tc>
        <w:tc>
          <w:tcPr>
            <w:tcW w:type="dxa" w:w="1701"/>
            <w:vAlign w:val="center"/>
          </w:tcPr>
          <w:p>
            <w:pPr>
              <w:spacing w:after="0"/>
            </w:pPr>
            <w:r>
              <w:rPr>
                <w:rFonts w:ascii="游ゴシック" w:hAnsi="游ゴシック" w:eastAsia="游ゴシック"/>
                <w:b w:val="0"/>
                <w:sz w:val="16"/>
              </w:rPr>
              <w:t>第6章第2節 注2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No.184</w:t>
            </w:r>
          </w:p>
        </w:tc>
        <w:tc>
          <w:tcPr>
            <w:tcW w:type="dxa" w:w="2608"/>
            <w:shd w:val="clear" w:color="auto" w:fill="F2F5FA"/>
            <w:vAlign w:val="center"/>
          </w:tcPr>
          <w:p>
            <w:pPr>
              <w:spacing w:after="0"/>
            </w:pPr>
            <w:r>
              <w:rPr>
                <w:rFonts w:ascii="游ゴシック" w:hAnsi="游ゴシック" w:eastAsia="游ゴシック"/>
                <w:b w:val="0"/>
                <w:sz w:val="16"/>
              </w:rPr>
              <w:t>短期入所生活介護の季節利用及び長期利用の実態</w:t>
            </w:r>
          </w:p>
        </w:tc>
        <w:tc>
          <w:tcPr>
            <w:tcW w:type="dxa" w:w="4649"/>
            <w:shd w:val="clear" w:color="auto" w:fill="F2F5FA"/>
            <w:vAlign w:val="center"/>
          </w:tcPr>
          <w:p>
            <w:pPr>
              <w:spacing w:after="0"/>
            </w:pPr>
            <w:r>
              <w:rPr>
                <w:rFonts w:ascii="游ゴシック" w:hAnsi="游ゴシック" w:eastAsia="游ゴシック"/>
                <w:b w:val="0"/>
                <w:sz w:val="16"/>
              </w:rPr>
              <w:t>短期入所生活介護は令和7年度（12か月の完結年度）の実績により算定し、積雪期の季節利用に係る例外及び長期利用減算の見直しが検討されていることを注に記載した</w:t>
            </w:r>
          </w:p>
        </w:tc>
        <w:tc>
          <w:tcPr>
            <w:tcW w:type="dxa" w:w="1701"/>
            <w:shd w:val="clear" w:color="auto" w:fill="F2F5FA"/>
            <w:vAlign w:val="center"/>
          </w:tcPr>
          <w:p>
            <w:pPr>
              <w:spacing w:after="0"/>
            </w:pPr>
            <w:r>
              <w:rPr>
                <w:rFonts w:ascii="游ゴシック" w:hAnsi="游ゴシック" w:eastAsia="游ゴシック"/>
                <w:b w:val="0"/>
                <w:sz w:val="16"/>
              </w:rPr>
              <w:t>第6章第2節 注1-1</w:t>
            </w:r>
          </w:p>
        </w:tc>
      </w:tr>
      <w:tr>
        <w:trPr>
          <w:cantSplit/>
        </w:trPr>
        <w:tc>
          <w:tcPr>
            <w:tcW w:type="dxa" w:w="794"/>
            <w:vAlign w:val="center"/>
          </w:tcPr>
          <w:p>
            <w:pPr>
              <w:spacing w:after="0"/>
              <w:jc w:val="center"/>
            </w:pPr>
            <w:r>
              <w:rPr>
                <w:rFonts w:ascii="游ゴシック" w:hAnsi="游ゴシック" w:eastAsia="游ゴシック"/>
                <w:b w:val="0"/>
                <w:sz w:val="16"/>
              </w:rPr>
              <w:t>No.185</w:t>
            </w:r>
          </w:p>
        </w:tc>
        <w:tc>
          <w:tcPr>
            <w:tcW w:type="dxa" w:w="2608"/>
            <w:vAlign w:val="center"/>
          </w:tcPr>
          <w:p>
            <w:pPr>
              <w:spacing w:after="0"/>
            </w:pPr>
            <w:r>
              <w:rPr>
                <w:rFonts w:ascii="游ゴシック" w:hAnsi="游ゴシック" w:eastAsia="游ゴシック"/>
                <w:b w:val="0"/>
                <w:sz w:val="16"/>
              </w:rPr>
              <w:t>小規模市町村地域支援連携協働体制整備事業の対象となるかどうか</w:t>
            </w:r>
          </w:p>
        </w:tc>
        <w:tc>
          <w:tcPr>
            <w:tcW w:type="dxa" w:w="4649"/>
            <w:vAlign w:val="center"/>
          </w:tcPr>
          <w:p>
            <w:pPr>
              <w:spacing w:after="0"/>
            </w:pPr>
            <w:r>
              <w:rPr>
                <w:rFonts w:ascii="游ゴシック" w:hAnsi="游ゴシック" w:eastAsia="游ゴシック"/>
                <w:b w:val="0"/>
                <w:sz w:val="16"/>
              </w:rPr>
              <w:t>小規模市町村地域支援連携協働体制整備事業を実施しないものとして地域支援事業費を算定し、該当する場合は費用の支弁の構造が変わることを記載した</w:t>
            </w:r>
          </w:p>
        </w:tc>
        <w:tc>
          <w:tcPr>
            <w:tcW w:type="dxa" w:w="1701"/>
            <w:vAlign w:val="center"/>
          </w:tcPr>
          <w:p>
            <w:pPr>
              <w:spacing w:after="0"/>
            </w:pPr>
            <w:r>
              <w:rPr>
                <w:rFonts w:ascii="游ゴシック" w:hAnsi="游ゴシック" w:eastAsia="游ゴシック"/>
                <w:b w:val="0"/>
                <w:sz w:val="16"/>
              </w:rPr>
              <w:t>第1章第9節2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No.186</w:t>
            </w:r>
          </w:p>
        </w:tc>
        <w:tc>
          <w:tcPr>
            <w:tcW w:type="dxa" w:w="2608"/>
            <w:shd w:val="clear" w:color="auto" w:fill="F2F5FA"/>
            <w:vAlign w:val="center"/>
          </w:tcPr>
          <w:p>
            <w:pPr>
              <w:spacing w:after="0"/>
            </w:pPr>
            <w:r>
              <w:rPr>
                <w:rFonts w:ascii="游ゴシック" w:hAnsi="游ゴシック" w:eastAsia="游ゴシック"/>
                <w:b w:val="0"/>
                <w:sz w:val="16"/>
              </w:rPr>
              <w:t>特定施設の定義の改正による区域内3施設の扱い</w:t>
            </w:r>
          </w:p>
        </w:tc>
        <w:tc>
          <w:tcPr>
            <w:tcW w:type="dxa" w:w="4649"/>
            <w:shd w:val="clear" w:color="auto" w:fill="F2F5FA"/>
            <w:vAlign w:val="center"/>
          </w:tcPr>
          <w:p>
            <w:pPr>
              <w:spacing w:after="0"/>
            </w:pPr>
            <w:r>
              <w:rPr>
                <w:rFonts w:ascii="游ゴシック" w:hAnsi="游ゴシック" w:eastAsia="游ゴシック"/>
                <w:b w:val="0"/>
                <w:sz w:val="16"/>
              </w:rPr>
              <w:t>特定施設の定義のうち有料老人ホームが登録有料老人ホームに置き換わること（施行は公布の日から2年以内）を記載し、区域内3施設の扱いは［要確認］として残した</w:t>
            </w:r>
          </w:p>
        </w:tc>
        <w:tc>
          <w:tcPr>
            <w:tcW w:type="dxa" w:w="1701"/>
            <w:shd w:val="clear" w:color="auto" w:fill="F2F5FA"/>
            <w:vAlign w:val="center"/>
          </w:tcPr>
          <w:p>
            <w:pPr>
              <w:spacing w:after="0"/>
            </w:pPr>
            <w:r>
              <w:rPr>
                <w:rFonts w:ascii="游ゴシック" w:hAnsi="游ゴシック" w:eastAsia="游ゴシック"/>
                <w:b w:val="0"/>
                <w:sz w:val="16"/>
              </w:rPr>
              <w:t>第1章第9節2</w:t>
            </w:r>
          </w:p>
        </w:tc>
      </w:tr>
      <w:tr>
        <w:trPr>
          <w:cantSplit/>
        </w:trPr>
        <w:tc>
          <w:tcPr>
            <w:tcW w:type="dxa" w:w="794"/>
            <w:vAlign w:val="center"/>
          </w:tcPr>
          <w:p>
            <w:pPr>
              <w:spacing w:after="0"/>
              <w:jc w:val="center"/>
            </w:pPr>
            <w:r>
              <w:rPr>
                <w:rFonts w:ascii="游ゴシック" w:hAnsi="游ゴシック" w:eastAsia="游ゴシック"/>
                <w:b w:val="0"/>
                <w:sz w:val="16"/>
              </w:rPr>
              <w:t>No.188</w:t>
            </w:r>
          </w:p>
        </w:tc>
        <w:tc>
          <w:tcPr>
            <w:tcW w:type="dxa" w:w="2608"/>
            <w:vAlign w:val="center"/>
          </w:tcPr>
          <w:p>
            <w:pPr>
              <w:spacing w:after="0"/>
            </w:pPr>
            <w:r>
              <w:rPr>
                <w:rFonts w:ascii="游ゴシック" w:hAnsi="游ゴシック" w:eastAsia="游ゴシック"/>
                <w:b w:val="0"/>
                <w:sz w:val="16"/>
              </w:rPr>
              <w:t>地域支援事業費の政令で定める額</w:t>
            </w:r>
          </w:p>
        </w:tc>
        <w:tc>
          <w:tcPr>
            <w:tcW w:type="dxa" w:w="4649"/>
            <w:vAlign w:val="center"/>
          </w:tcPr>
          <w:p>
            <w:pPr>
              <w:spacing w:after="0"/>
            </w:pPr>
            <w:r>
              <w:rPr>
                <w:rFonts w:ascii="游ゴシック" w:hAnsi="游ゴシック" w:eastAsia="游ゴシック"/>
                <w:b w:val="0"/>
                <w:sz w:val="16"/>
              </w:rPr>
              <w:t>地域支援事業費に政令で定める上限があることを記載し、令和6年度決算の水準を据え置いたまま算定していることを［要確認］として残した</w:t>
            </w:r>
          </w:p>
        </w:tc>
        <w:tc>
          <w:tcPr>
            <w:tcW w:type="dxa" w:w="1701"/>
            <w:vAlign w:val="center"/>
          </w:tcPr>
          <w:p>
            <w:pPr>
              <w:spacing w:after="0"/>
            </w:pPr>
            <w:r>
              <w:rPr>
                <w:rFonts w:ascii="游ゴシック" w:hAnsi="游ゴシック" w:eastAsia="游ゴシック"/>
                <w:b w:val="0"/>
                <w:sz w:val="16"/>
              </w:rPr>
              <w:t>第6章第3節2</w:t>
            </w:r>
          </w:p>
        </w:tc>
      </w:tr>
    </w:tbl>
    <w:p>
      <w:pPr>
        <w:spacing w:after="80"/>
      </w:pPr>
      <w:r>
        <w:rPr>
          <w:rFonts w:ascii="游ゴシック" w:hAnsi="游ゴシック" w:eastAsia="游ゴシック"/>
          <w:b w:val="0"/>
          <w:sz w:val="17"/>
        </w:rPr>
        <w:t>資料：業務工程管理表 03_確認事項一覧、計画素案</w:t>
      </w:r>
    </w:p>
    <w:p>
      <w:pPr>
        <w:keepNext/>
        <w:pageBreakBefore w:val="0"/>
        <w:spacing w:before="280" w:after="120"/>
      </w:pPr>
      <w:r>
        <w:rPr>
          <w:rFonts w:ascii="游ゴシック" w:hAnsi="游ゴシック" w:eastAsia="游ゴシック"/>
          <w:b/>
          <w:color w:val="1F3864"/>
          <w:sz w:val="26"/>
        </w:rPr>
        <w:t>第8節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表24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表25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第9節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表26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表28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val="0"/>
        <w:spacing w:before="280" w:after="120"/>
      </w:pPr>
      <w:r>
        <w:rPr>
          <w:rFonts w:ascii="游ゴシック" w:hAnsi="游ゴシック" w:eastAsia="游ゴシック"/>
          <w:b/>
          <w:color w:val="1F3864"/>
          <w:sz w:val="26"/>
        </w:rPr>
        <w:t>第10節　資料のご提供をお願いしたいもの</w:t>
      </w:r>
    </w:p>
    <w:p>
      <w:pPr>
        <w:spacing w:after="80"/>
      </w:pPr>
      <w:r>
        <w:rPr>
          <w:rFonts w:ascii="游ゴシック" w:hAnsi="游ゴシック" w:eastAsia="游ゴシック"/>
          <w:b w:val="0"/>
          <w:sz w:val="20"/>
        </w:rPr>
        <w:t>資料の提供依頼31件のうち、まだ受領していないものが23件あります。うち優先度の高いものが13件です。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表29　優先度の高い資料　13件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31</w:t>
            </w:r>
          </w:p>
        </w:tc>
        <w:tc>
          <w:tcPr>
            <w:tcW w:type="dxa" w:w="3628"/>
            <w:vAlign w:val="center"/>
          </w:tcPr>
          <w:p>
            <w:pPr>
              <w:spacing w:after="0"/>
            </w:pPr>
            <w:r>
              <w:rPr>
                <w:rFonts w:ascii="游ゴシック" w:hAnsi="游ゴシック" w:eastAsia="游ゴシック"/>
                <w:b w:val="0"/>
                <w:sz w:val="16"/>
              </w:rPr>
              <w:t>第10期必要入所（利用）定員、入居定員総数調査票</w:t>
            </w:r>
          </w:p>
        </w:tc>
        <w:tc>
          <w:tcPr>
            <w:tcW w:type="dxa" w:w="2835"/>
            <w:vAlign w:val="center"/>
          </w:tcPr>
          <w:p>
            <w:pPr>
              <w:spacing w:after="0"/>
            </w:pPr>
            <w:r>
              <w:rPr>
                <w:rFonts w:ascii="游ゴシック" w:hAnsi="游ゴシック" w:eastAsia="游ゴシック"/>
                <w:b w:val="0"/>
                <w:sz w:val="16"/>
              </w:rPr>
              <w:t>計画素案 第6章第4節4（必要利用定員総数）、日常生活圏域ごとの必要利用定員総数の様式</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R8.11</w:t>
            </w:r>
          </w:p>
        </w:tc>
      </w:tr>
    </w:tbl>
    <w:p>
      <w:pPr>
        <w:spacing w:after="80"/>
      </w:pPr>
      <w:r>
        <w:rPr>
          <w:rFonts w:ascii="游ゴシック" w:hAnsi="游ゴシック" w:eastAsia="游ゴシック"/>
          <w:b w:val="0"/>
          <w:sz w:val="17"/>
        </w:rPr>
        <w:t>資料：業務工程管理表 06_資料提供依頼</w:t>
      </w:r>
    </w:p>
    <w:p>
      <w:pPr>
        <w:keepNext/>
        <w:pageBreakBefore w:val="0"/>
        <w:spacing w:before="280" w:after="120"/>
      </w:pPr>
      <w:r>
        <w:rPr>
          <w:rFonts w:ascii="游ゴシック" w:hAnsi="游ゴシック" w:eastAsia="游ゴシック"/>
          <w:b/>
          <w:color w:val="1F3864"/>
          <w:sz w:val="26"/>
        </w:rPr>
        <w:t>第11節　10月以降の進め方</w:t>
      </w:r>
    </w:p>
    <w:p>
      <w:pPr>
        <w:keepNext/>
        <w:spacing w:before="160" w:after="40"/>
      </w:pPr>
      <w:r>
        <w:rPr>
          <w:rFonts w:ascii="游ゴシック" w:hAnsi="游ゴシック" w:eastAsia="游ゴシック"/>
          <w:b/>
          <w:sz w:val="20"/>
        </w:rPr>
        <w:t>表30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共通31件のご決定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第2次概算（令和8年10月30日）は、ご決定がない場合も第7節の仮置きにより組みます。その場合は、仮置きによったことを第2次概算の資料に明示します。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