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構造評価済：19施策中6施策は部分評価可能、13施策は指標不足。自己点検（自己点検記録）で29件を指摘し、うち5件は資料の受領により指摘のとおりであることが確認されたため評価の記述を訂正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健康とくらしの調査は個票4,729票を受領し分析完了。他3調査は第10期分102ファイルを受領し点検・集計済（点検事項35件、うち重大6件）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13施設が未回答（施設数ベースの把握率58.1％）</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見える化W144（性・年齢調整済み要介護2以上認定率・9.25％）。当初のB5-a【注目する地域のみ】18.4％は全国・北海道と比較できないため撤回した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13施設あることが分かりました。うち8施設は介護保険の指定を受けない住まい（住宅型有料老人ホーム6・サービス付き高齢者向け住宅1・軽費老人ホーム1）、5施設は指定を受ける施設・居住系（特別養護老人ホーム2・グループホーム2・特定施設1）です。区域内最大の特定施設（さわやか東神楽館・定員100人）も含まれま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515"/>
            <w:shd w:val="clear" w:fill="1F3864"/>
          </w:tcPr>
          <w:p>
            <w:pPr>
              <w:spacing w:after="20" w:before="20"/>
            </w:pPr>
            <w:r/>
            <w:r>
              <w:rPr>
                <w:rFonts w:ascii="游ゴシック" w:hAnsi="游ゴシック" w:eastAsia="游ゴシック"/>
                <w:b/>
                <w:color w:val="FFFFFF"/>
                <w:sz w:val="18"/>
              </w:rPr>
              <w:t>内容</w:t>
            </w:r>
          </w:p>
        </w:tc>
        <w:tc>
          <w:tcPr>
            <w:tcW w:type="dxa" w:w="907"/>
            <w:shd w:val="clear" w:fill="1F3864"/>
          </w:tcPr>
          <w:p>
            <w:pPr>
              <w:spacing w:after="20" w:before="20"/>
            </w:pPr>
            <w:r/>
            <w:r>
              <w:rPr>
                <w:rFonts w:ascii="游ゴシック" w:hAnsi="游ゴシック" w:eastAsia="游ゴシック"/>
                <w:b/>
                <w:color w:val="FFFFFF"/>
                <w:sz w:val="18"/>
              </w:rPr>
              <w:t>R9</w:t>
            </w:r>
          </w:p>
        </w:tc>
        <w:tc>
          <w:tcPr>
            <w:tcW w:type="dxa" w:w="907"/>
            <w:shd w:val="clear" w:fill="1F3864"/>
          </w:tcPr>
          <w:p>
            <w:pPr>
              <w:spacing w:after="20" w:before="20"/>
            </w:pPr>
            <w:r/>
            <w:r>
              <w:rPr>
                <w:rFonts w:ascii="游ゴシック" w:hAnsi="游ゴシック" w:eastAsia="游ゴシック"/>
                <w:b/>
                <w:color w:val="FFFFFF"/>
                <w:sz w:val="18"/>
              </w:rPr>
              <w:t>R10</w:t>
            </w:r>
          </w:p>
        </w:tc>
        <w:tc>
          <w:tcPr>
            <w:tcW w:type="dxa" w:w="907"/>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515"/>
          </w:tcPr>
          <w:p>
            <w:pPr>
              <w:spacing w:after="20" w:before="20"/>
            </w:pPr>
            <w:r/>
            <w:r>
              <w:rPr>
                <w:rFonts w:ascii="游ゴシック" w:hAnsi="游ゴシック" w:eastAsia="游ゴシック"/>
                <w:b w:val="0"/>
                <w:sz w:val="18"/>
              </w:rPr>
              <w:t>令和8年3月末の認定率をそのまま固定する</w:t>
            </w:r>
          </w:p>
        </w:tc>
        <w:tc>
          <w:tcPr>
            <w:tcW w:type="dxa" w:w="907"/>
          </w:tcPr>
          <w:p>
            <w:pPr>
              <w:spacing w:after="20" w:before="20"/>
            </w:pPr>
            <w:r/>
            <w:r>
              <w:rPr>
                <w:rFonts w:ascii="游ゴシック" w:hAnsi="游ゴシック" w:eastAsia="游ゴシック"/>
                <w:b w:val="0"/>
                <w:sz w:val="18"/>
              </w:rPr>
              <w:t>2,014</w:t>
            </w:r>
          </w:p>
        </w:tc>
        <w:tc>
          <w:tcPr>
            <w:tcW w:type="dxa" w:w="907"/>
          </w:tcPr>
          <w:p>
            <w:pPr>
              <w:spacing w:after="20" w:before="20"/>
            </w:pPr>
            <w:r/>
            <w:r>
              <w:rPr>
                <w:rFonts w:ascii="游ゴシック" w:hAnsi="游ゴシック" w:eastAsia="游ゴシック"/>
                <w:b w:val="0"/>
                <w:sz w:val="18"/>
              </w:rPr>
              <w:t>2,029</w:t>
            </w:r>
          </w:p>
        </w:tc>
        <w:tc>
          <w:tcPr>
            <w:tcW w:type="dxa" w:w="907"/>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515"/>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07"/>
          </w:tcPr>
          <w:p>
            <w:pPr>
              <w:spacing w:after="20" w:before="20"/>
            </w:pPr>
            <w:r/>
            <w:r>
              <w:rPr>
                <w:rFonts w:ascii="游ゴシック" w:hAnsi="游ゴシック" w:eastAsia="游ゴシック"/>
                <w:b w:val="0"/>
                <w:sz w:val="18"/>
              </w:rPr>
              <w:t>1,995</w:t>
            </w:r>
          </w:p>
        </w:tc>
        <w:tc>
          <w:tcPr>
            <w:tcW w:type="dxa" w:w="907"/>
          </w:tcPr>
          <w:p>
            <w:pPr>
              <w:spacing w:after="20" w:before="20"/>
            </w:pPr>
            <w:r/>
            <w:r>
              <w:rPr>
                <w:rFonts w:ascii="游ゴシック" w:hAnsi="游ゴシック" w:eastAsia="游ゴシック"/>
                <w:b w:val="0"/>
                <w:sz w:val="18"/>
              </w:rPr>
              <w:t>2,000</w:t>
            </w:r>
          </w:p>
        </w:tc>
        <w:tc>
          <w:tcPr>
            <w:tcW w:type="dxa" w:w="907"/>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515"/>
          </w:tcPr>
          <w:p>
            <w:pPr>
              <w:spacing w:after="20" w:before="20"/>
            </w:pPr>
            <w:r/>
            <w:r>
              <w:rPr>
                <w:rFonts w:ascii="游ゴシック" w:hAnsi="游ゴシック" w:eastAsia="游ゴシック"/>
                <w:b w:val="0"/>
                <w:sz w:val="18"/>
              </w:rPr>
              <w:t>令和11年度にかけて令和元年の水準へ戻る</w:t>
            </w:r>
          </w:p>
        </w:tc>
        <w:tc>
          <w:tcPr>
            <w:tcW w:type="dxa" w:w="907"/>
          </w:tcPr>
          <w:p>
            <w:pPr>
              <w:spacing w:after="20" w:before="20"/>
            </w:pPr>
            <w:r/>
            <w:r>
              <w:rPr>
                <w:rFonts w:ascii="游ゴシック" w:hAnsi="游ゴシック" w:eastAsia="游ゴシック"/>
                <w:b w:val="0"/>
                <w:sz w:val="18"/>
              </w:rPr>
              <w:t>2,048</w:t>
            </w:r>
          </w:p>
        </w:tc>
        <w:tc>
          <w:tcPr>
            <w:tcW w:type="dxa" w:w="907"/>
          </w:tcPr>
          <w:p>
            <w:pPr>
              <w:spacing w:after="20" w:before="20"/>
            </w:pPr>
            <w:r/>
            <w:r>
              <w:rPr>
                <w:rFonts w:ascii="游ゴシック" w:hAnsi="游ゴシック" w:eastAsia="游ゴシック"/>
                <w:b w:val="0"/>
                <w:sz w:val="18"/>
              </w:rPr>
              <w:t>2,080</w:t>
            </w:r>
          </w:p>
        </w:tc>
        <w:tc>
          <w:tcPr>
            <w:tcW w:type="dxa" w:w="907"/>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令和6～8年度実績の受領、3調査の点検事項の解消（重大6件のご意向の確認）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35件の取扱い。特に重大6件（職員数の二重計上、利用者票の回答の偏り、所在地区の集計の可否、老健・通所リハの介護職員数と見える化の乖離、区域内最大の特定施設の未回答、区域内の施設数と未回答数）</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16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実施済み3調査の点検事項の取扱い（重大6件）と事業所への照会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15</w:t>
            </w:r>
          </w:p>
        </w:tc>
        <w:tc>
          <w:tcPr>
            <w:tcW w:type="dxa" w:w="7030"/>
          </w:tcPr>
          <w:p>
            <w:pPr>
              <w:spacing w:after="20" w:before="20"/>
            </w:pPr>
            <w:r/>
            <w:r>
              <w:rPr>
                <w:rFonts w:ascii="游ゴシック" w:hAnsi="游ゴシック" w:eastAsia="游ゴシック"/>
                <w:b w:val="0"/>
                <w:sz w:val="18"/>
              </w:rPr>
              <w:t>供給構造に関する記述の表現（運営法人の集中の書き方）</w:t>
            </w:r>
          </w:p>
        </w:tc>
        <w:tc>
          <w:tcPr>
            <w:tcW w:type="dxa" w:w="2041"/>
          </w:tcPr>
          <w:p>
            <w:pPr>
              <w:spacing w:after="20" w:before="20"/>
            </w:pPr>
            <w:r/>
            <w:r>
              <w:rPr>
                <w:rFonts w:ascii="游ゴシック" w:hAnsi="游ゴシック" w:eastAsia="游ゴシック"/>
                <w:b w:val="0"/>
                <w:sz w:val="18"/>
              </w:rPr>
              <w:t>計画の記述</w:t>
            </w:r>
          </w:p>
        </w:tc>
      </w:tr>
      <w:tr>
        <w:tc>
          <w:tcPr>
            <w:tcW w:type="dxa" w:w="680"/>
          </w:tcPr>
          <w:p>
            <w:pPr>
              <w:spacing w:after="20" w:before="20"/>
            </w:pPr>
            <w:r/>
            <w:r>
              <w:rPr>
                <w:rFonts w:ascii="游ゴシック" w:hAnsi="游ゴシック" w:eastAsia="游ゴシック"/>
                <w:b w:val="0"/>
                <w:sz w:val="18"/>
              </w:rPr>
              <w:t>16</w:t>
            </w:r>
          </w:p>
        </w:tc>
        <w:tc>
          <w:tcPr>
            <w:tcW w:type="dxa" w:w="7030"/>
          </w:tcPr>
          <w:p>
            <w:pPr>
              <w:spacing w:after="20" w:before="20"/>
            </w:pPr>
            <w:r/>
            <w:r>
              <w:rPr>
                <w:rFonts w:ascii="游ゴシック" w:hAnsi="游ゴシック" w:eastAsia="游ゴシック"/>
                <w:b w:val="0"/>
                <w:sz w:val="18"/>
              </w:rPr>
              <w:t>調査結果報告書の様式と構成</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35件を整理し、重大6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