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業務内容別の進捗（令和8年8月25日現在）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78％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＋58pt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45％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