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採用により総給付費（3か年）＋3,213,698円・月額＋2.16円。保険料基準額は6,400円で変わらない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の算定（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サービス見込量・保険料の算定を止めているもの（4件）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計画の記載に関わるもの（21件）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社会資源一覧の従業員数は施設単位の実人数を用い、延べの値は用いない（同一の施設が複数のサービスで登録されている分を除く）。介護人材実態調査の採用者数・離職者数も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No.88</w:t>
            </w:r>
          </w:p>
        </w:tc>
        <w:tc>
          <w:tcPr>
            <w:tcW w:type="dxa" w:w="2948"/>
            <w:shd w:val="clear" w:color="auto" w:fill="F2F5FA"/>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shd w:val="clear" w:color="auto" w:fill="F2F5FA"/>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No.96</w:t>
            </w:r>
          </w:p>
        </w:tc>
        <w:tc>
          <w:tcPr>
            <w:tcW w:type="dxa" w:w="2948"/>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受託者が仮置きにより進めた事項（46件）</w:t>
      </w:r>
    </w:p>
    <w:p>
      <w:pPr>
        <w:spacing w:after="80"/>
      </w:pPr>
      <w:r>
        <w:rPr>
          <w:rFonts w:ascii="游ゴシック" w:hAnsi="游ゴシック" w:eastAsia="游ゴシック"/>
          <w:b w:val="0"/>
          <w:sz w:val="20"/>
        </w:rPr>
        <w:t>ご決定をお待ちしているもののうち、仮置きのとおり計画素案へ反映した事項です。掲げないこととしたものを含みます。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spacing w:after="80"/>
      </w:pPr>
      <w:r>
        <w:rPr>
          <w:rFonts w:ascii="游ゴシック" w:hAnsi="游ゴシック" w:eastAsia="游ゴシック"/>
          <w:b w:val="0"/>
          <w:sz w:val="20"/>
        </w:rPr>
        <w:t>このうち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6"/>
              </w:rPr>
              <w:t>No.</w:t>
            </w:r>
          </w:p>
        </w:tc>
        <w:tc>
          <w:tcPr>
            <w:tcW w:type="dxa" w:w="2608"/>
            <w:shd w:val="clear" w:color="auto" w:fill="1F3864"/>
            <w:vAlign w:val="center"/>
          </w:tcPr>
          <w:p>
            <w:pPr>
              <w:spacing w:after="0"/>
              <w:jc w:val="center"/>
            </w:pPr>
            <w:r>
              <w:rPr>
                <w:rFonts w:ascii="游ゴシック" w:hAnsi="游ゴシック" w:eastAsia="游ゴシック"/>
                <w:b/>
                <w:color w:val="FFFFFF"/>
                <w:sz w:val="16"/>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6"/>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6"/>
              </w:rPr>
              <w:t>計画素案</w:t>
            </w:r>
          </w:p>
        </w:tc>
      </w:tr>
      <w:tr>
        <w:trPr>
          <w:cantSplit/>
        </w:trPr>
        <w:tc>
          <w:tcPr>
            <w:tcW w:type="dxa" w:w="794"/>
            <w:vAlign w:val="center"/>
          </w:tcPr>
          <w:p>
            <w:pPr>
              <w:spacing w:after="0"/>
              <w:jc w:val="center"/>
            </w:pPr>
            <w:r>
              <w:rPr>
                <w:rFonts w:ascii="游ゴシック" w:hAnsi="游ゴシック" w:eastAsia="游ゴシック"/>
                <w:b w:val="0"/>
                <w:sz w:val="16"/>
              </w:rPr>
              <w:t>No.88</w:t>
            </w:r>
          </w:p>
        </w:tc>
        <w:tc>
          <w:tcPr>
            <w:tcW w:type="dxa" w:w="2608"/>
            <w:vAlign w:val="center"/>
          </w:tcPr>
          <w:p>
            <w:pPr>
              <w:spacing w:after="0"/>
            </w:pPr>
            <w:r>
              <w:rPr>
                <w:rFonts w:ascii="游ゴシック" w:hAnsi="游ゴシック" w:eastAsia="游ゴシック"/>
                <w:b w:val="0"/>
                <w:sz w:val="16"/>
              </w:rPr>
              <w:t>日常生活圏域ごとの必要利用定員総数（法定記載事項）</w:t>
            </w:r>
          </w:p>
        </w:tc>
        <w:tc>
          <w:tcPr>
            <w:tcW w:type="dxa" w:w="4649"/>
            <w:vAlign w:val="center"/>
          </w:tcPr>
          <w:p>
            <w:pPr>
              <w:spacing w:after="0"/>
            </w:pPr>
            <w:r>
              <w:rPr>
                <w:rFonts w:ascii="游ゴシック" w:hAnsi="游ゴシック" w:eastAsia="游ゴシック"/>
                <w:b w:val="0"/>
                <w:sz w:val="16"/>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No.113</w:t>
            </w:r>
          </w:p>
        </w:tc>
        <w:tc>
          <w:tcPr>
            <w:tcW w:type="dxa" w:w="2608"/>
            <w:shd w:val="clear" w:color="auto" w:fill="F2F5FA"/>
            <w:vAlign w:val="center"/>
          </w:tcPr>
          <w:p>
            <w:pPr>
              <w:spacing w:after="0"/>
            </w:pPr>
            <w:r>
              <w:rPr>
                <w:rFonts w:ascii="游ゴシック" w:hAnsi="游ゴシック" w:eastAsia="游ゴシック"/>
                <w:b w:val="0"/>
                <w:sz w:val="16"/>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6"/>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No.131</w:t>
            </w:r>
          </w:p>
        </w:tc>
        <w:tc>
          <w:tcPr>
            <w:tcW w:type="dxa" w:w="2608"/>
            <w:vAlign w:val="center"/>
          </w:tcPr>
          <w:p>
            <w:pPr>
              <w:spacing w:after="0"/>
            </w:pPr>
            <w:r>
              <w:rPr>
                <w:rFonts w:ascii="游ゴシック" w:hAnsi="游ゴシック" w:eastAsia="游ゴシック"/>
                <w:b w:val="0"/>
                <w:sz w:val="16"/>
              </w:rPr>
              <w:t>第6章第2節の見込量の表に何を掲げるか</w:t>
            </w:r>
          </w:p>
        </w:tc>
        <w:tc>
          <w:tcPr>
            <w:tcW w:type="dxa" w:w="4649"/>
            <w:vAlign w:val="center"/>
          </w:tcPr>
          <w:p>
            <w:pPr>
              <w:spacing w:after="0"/>
            </w:pPr>
            <w:r>
              <w:rPr>
                <w:rFonts w:ascii="游ゴシック" w:hAnsi="游ゴシック" w:eastAsia="游ゴシック"/>
                <w:b w:val="0"/>
                <w:sz w:val="16"/>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6"/>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No.112</w:t>
            </w:r>
          </w:p>
        </w:tc>
        <w:tc>
          <w:tcPr>
            <w:tcW w:type="dxa" w:w="2608"/>
            <w:shd w:val="clear" w:color="auto" w:fill="F2F5FA"/>
            <w:vAlign w:val="center"/>
          </w:tcPr>
          <w:p>
            <w:pPr>
              <w:spacing w:after="0"/>
            </w:pPr>
            <w:r>
              <w:rPr>
                <w:rFonts w:ascii="游ゴシック" w:hAnsi="游ゴシック" w:eastAsia="游ゴシック"/>
                <w:b w:val="0"/>
                <w:sz w:val="16"/>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6"/>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6"/>
              </w:rPr>
              <w:t>第6章第3節2</w:t>
            </w:r>
          </w:p>
        </w:tc>
      </w:tr>
      <w:tr>
        <w:trPr>
          <w:cantSplit/>
        </w:trPr>
        <w:tc>
          <w:tcPr>
            <w:tcW w:type="dxa" w:w="794"/>
            <w:vAlign w:val="center"/>
          </w:tcPr>
          <w:p>
            <w:pPr>
              <w:spacing w:after="0"/>
              <w:jc w:val="center"/>
            </w:pPr>
            <w:r>
              <w:rPr>
                <w:rFonts w:ascii="游ゴシック" w:hAnsi="游ゴシック" w:eastAsia="游ゴシック"/>
                <w:b w:val="0"/>
                <w:sz w:val="16"/>
              </w:rPr>
              <w:t>No.106</w:t>
            </w:r>
          </w:p>
        </w:tc>
        <w:tc>
          <w:tcPr>
            <w:tcW w:type="dxa" w:w="2608"/>
            <w:vAlign w:val="center"/>
          </w:tcPr>
          <w:p>
            <w:pPr>
              <w:spacing w:after="0"/>
            </w:pPr>
            <w:r>
              <w:rPr>
                <w:rFonts w:ascii="游ゴシック" w:hAnsi="游ゴシック" w:eastAsia="游ゴシック"/>
                <w:b w:val="0"/>
                <w:sz w:val="16"/>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6"/>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No.105</w:t>
            </w:r>
          </w:p>
        </w:tc>
        <w:tc>
          <w:tcPr>
            <w:tcW w:type="dxa" w:w="2608"/>
            <w:shd w:val="clear" w:color="auto" w:fill="F2F5FA"/>
            <w:vAlign w:val="center"/>
          </w:tcPr>
          <w:p>
            <w:pPr>
              <w:spacing w:after="0"/>
            </w:pPr>
            <w:r>
              <w:rPr>
                <w:rFonts w:ascii="游ゴシック" w:hAnsi="游ゴシック" w:eastAsia="游ゴシック"/>
                <w:b w:val="0"/>
                <w:sz w:val="16"/>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6"/>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No.137</w:t>
            </w:r>
          </w:p>
        </w:tc>
        <w:tc>
          <w:tcPr>
            <w:tcW w:type="dxa" w:w="2608"/>
            <w:vAlign w:val="center"/>
          </w:tcPr>
          <w:p>
            <w:pPr>
              <w:spacing w:after="0"/>
            </w:pPr>
            <w:r>
              <w:rPr>
                <w:rFonts w:ascii="游ゴシック" w:hAnsi="游ゴシック" w:eastAsia="游ゴシック"/>
                <w:b w:val="0"/>
                <w:sz w:val="16"/>
              </w:rPr>
              <w:t>1人1月あたり給付費の実績値をどの年度にするか</w:t>
            </w:r>
          </w:p>
        </w:tc>
        <w:tc>
          <w:tcPr>
            <w:tcW w:type="dxa" w:w="4649"/>
            <w:vAlign w:val="center"/>
          </w:tcPr>
          <w:p>
            <w:pPr>
              <w:spacing w:after="0"/>
            </w:pPr>
            <w:r>
              <w:rPr>
                <w:rFonts w:ascii="游ゴシック" w:hAnsi="游ゴシック" w:eastAsia="游ゴシック"/>
                <w:b w:val="0"/>
                <w:sz w:val="16"/>
              </w:rPr>
              <w:t>単価を令和7年度で固定し、実績の趨勢を織り込んだ場合の月額への効きを併記した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No.110</w:t>
            </w:r>
          </w:p>
        </w:tc>
        <w:tc>
          <w:tcPr>
            <w:tcW w:type="dxa" w:w="2608"/>
            <w:shd w:val="clear" w:color="auto" w:fill="F2F5FA"/>
            <w:vAlign w:val="center"/>
          </w:tcPr>
          <w:p>
            <w:pPr>
              <w:spacing w:after="0"/>
            </w:pPr>
            <w:r>
              <w:rPr>
                <w:rFonts w:ascii="游ゴシック" w:hAnsi="游ゴシック" w:eastAsia="游ゴシック"/>
                <w:b w:val="0"/>
                <w:sz w:val="16"/>
              </w:rPr>
              <w:t>給付適正化の効果を見込量に織り込まないことでよいか</w:t>
            </w:r>
          </w:p>
        </w:tc>
        <w:tc>
          <w:tcPr>
            <w:tcW w:type="dxa" w:w="4649"/>
            <w:shd w:val="clear" w:color="auto" w:fill="F2F5FA"/>
            <w:vAlign w:val="center"/>
          </w:tcPr>
          <w:p>
            <w:pPr>
              <w:spacing w:after="0"/>
            </w:pPr>
            <w:r>
              <w:rPr>
                <w:rFonts w:ascii="游ゴシック" w:hAnsi="游ゴシック" w:eastAsia="游ゴシック"/>
                <w:b w:val="0"/>
                <w:sz w:val="16"/>
              </w:rPr>
              <w:t>給付の適正化による抑制を織り込まず、対象サービスの割合と10％抑制した場合の効きを併記した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No.150</w:t>
            </w:r>
          </w:p>
        </w:tc>
        <w:tc>
          <w:tcPr>
            <w:tcW w:type="dxa" w:w="2608"/>
            <w:vAlign w:val="center"/>
          </w:tcPr>
          <w:p>
            <w:pPr>
              <w:spacing w:after="0"/>
            </w:pPr>
            <w:r>
              <w:rPr>
                <w:rFonts w:ascii="游ゴシック" w:hAnsi="游ゴシック" w:eastAsia="游ゴシック"/>
                <w:b w:val="0"/>
                <w:sz w:val="16"/>
              </w:rPr>
              <w:t>認知症総合支援事業の実績のご提供</w:t>
            </w:r>
          </w:p>
        </w:tc>
        <w:tc>
          <w:tcPr>
            <w:tcW w:type="dxa" w:w="4649"/>
            <w:vAlign w:val="center"/>
          </w:tcPr>
          <w:p>
            <w:pPr>
              <w:spacing w:after="0"/>
            </w:pPr>
            <w:r>
              <w:rPr>
                <w:rFonts w:ascii="游ゴシック" w:hAnsi="游ゴシック" w:eastAsia="游ゴシック"/>
                <w:b w:val="0"/>
                <w:sz w:val="16"/>
              </w:rPr>
              <w:t>量の見込みは掲げず、構成3町の認知症総合支援事業の実施状況を掲げた</w:t>
            </w:r>
          </w:p>
        </w:tc>
        <w:tc>
          <w:tcPr>
            <w:tcW w:type="dxa" w:w="1701"/>
            <w:vAlign w:val="center"/>
          </w:tcPr>
          <w:p>
            <w:pPr>
              <w:spacing w:after="0"/>
            </w:pPr>
            <w:r>
              <w:rPr>
                <w:rFonts w:ascii="游ゴシック" w:hAnsi="游ゴシック" w:eastAsia="游ゴシック"/>
                <w:b w:val="0"/>
                <w:sz w:val="16"/>
              </w:rPr>
              <w:t>第6章第3節2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No.98</w:t>
            </w:r>
          </w:p>
        </w:tc>
        <w:tc>
          <w:tcPr>
            <w:tcW w:type="dxa" w:w="2608"/>
            <w:shd w:val="clear" w:color="auto" w:fill="F2F5FA"/>
            <w:vAlign w:val="center"/>
          </w:tcPr>
          <w:p>
            <w:pPr>
              <w:spacing w:after="0"/>
            </w:pPr>
            <w:r>
              <w:rPr>
                <w:rFonts w:ascii="游ゴシック" w:hAnsi="游ゴシック" w:eastAsia="游ゴシック"/>
                <w:b w:val="0"/>
                <w:sz w:val="16"/>
              </w:rPr>
              <w:t>基盤整備の選択肢として省令上の類型を計画に掲げるか</w:t>
            </w:r>
          </w:p>
        </w:tc>
        <w:tc>
          <w:tcPr>
            <w:tcW w:type="dxa" w:w="4649"/>
            <w:shd w:val="clear" w:color="auto" w:fill="F2F5FA"/>
            <w:vAlign w:val="center"/>
          </w:tcPr>
          <w:p>
            <w:pPr>
              <w:spacing w:after="0"/>
            </w:pPr>
            <w:r>
              <w:rPr>
                <w:rFonts w:ascii="游ゴシック" w:hAnsi="游ゴシック" w:eastAsia="游ゴシック"/>
                <w:b w:val="0"/>
                <w:sz w:val="16"/>
              </w:rPr>
              <w:t>省令上の類型は計画に掲げていない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No.100</w:t>
            </w:r>
          </w:p>
        </w:tc>
        <w:tc>
          <w:tcPr>
            <w:tcW w:type="dxa" w:w="2608"/>
            <w:vAlign w:val="center"/>
          </w:tcPr>
          <w:p>
            <w:pPr>
              <w:spacing w:after="0"/>
            </w:pPr>
            <w:r>
              <w:rPr>
                <w:rFonts w:ascii="游ゴシック" w:hAnsi="游ゴシック" w:eastAsia="游ゴシック"/>
                <w:b w:val="0"/>
                <w:sz w:val="16"/>
              </w:rPr>
              <w:t>サービス見込量及び給付費の算定に用いる基準年度と出所</w:t>
            </w:r>
          </w:p>
        </w:tc>
        <w:tc>
          <w:tcPr>
            <w:tcW w:type="dxa" w:w="4649"/>
            <w:vAlign w:val="center"/>
          </w:tcPr>
          <w:p>
            <w:pPr>
              <w:spacing w:after="0"/>
            </w:pPr>
            <w:r>
              <w:rPr>
                <w:rFonts w:ascii="游ゴシック" w:hAnsi="游ゴシック" w:eastAsia="游ゴシック"/>
                <w:b w:val="0"/>
                <w:sz w:val="16"/>
              </w:rPr>
              <w:t>令和7年度を基準年度とし、総括表の単価により要介護度別の伸びで算定した</w:t>
            </w:r>
          </w:p>
        </w:tc>
        <w:tc>
          <w:tcPr>
            <w:tcW w:type="dxa" w:w="1701"/>
            <w:vAlign w:val="center"/>
          </w:tcPr>
          <w:p>
            <w:pPr>
              <w:spacing w:after="0"/>
            </w:pPr>
            <w:r>
              <w:rPr>
                <w:rFonts w:ascii="游ゴシック" w:hAnsi="游ゴシック" w:eastAsia="游ゴシック"/>
                <w:b w:val="0"/>
                <w:sz w:val="16"/>
              </w:rPr>
              <w:t>第6章第2節・第3節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No.101</w:t>
            </w:r>
          </w:p>
        </w:tc>
        <w:tc>
          <w:tcPr>
            <w:tcW w:type="dxa" w:w="2608"/>
            <w:shd w:val="clear" w:color="auto" w:fill="F2F5FA"/>
            <w:vAlign w:val="center"/>
          </w:tcPr>
          <w:p>
            <w:pPr>
              <w:spacing w:after="0"/>
            </w:pPr>
            <w:r>
              <w:rPr>
                <w:rFonts w:ascii="游ゴシック" w:hAnsi="游ゴシック" w:eastAsia="游ゴシック"/>
                <w:b w:val="0"/>
                <w:sz w:val="16"/>
              </w:rPr>
              <w:t>計画素案 第6章第2節2の見込量の表の数値の差し替え</w:t>
            </w:r>
          </w:p>
        </w:tc>
        <w:tc>
          <w:tcPr>
            <w:tcW w:type="dxa" w:w="4649"/>
            <w:shd w:val="clear" w:color="auto" w:fill="F2F5FA"/>
            <w:vAlign w:val="center"/>
          </w:tcPr>
          <w:p>
            <w:pPr>
              <w:spacing w:after="0"/>
            </w:pPr>
            <w:r>
              <w:rPr>
                <w:rFonts w:ascii="游ゴシック" w:hAnsi="游ゴシック" w:eastAsia="游ゴシック"/>
                <w:b w:val="0"/>
                <w:sz w:val="16"/>
              </w:rPr>
              <w:t>第6章第2節の表は当方の算定による値とし、見える化システムの自然体推計による値は第6節2に対比として掲げた</w:t>
            </w:r>
          </w:p>
        </w:tc>
        <w:tc>
          <w:tcPr>
            <w:tcW w:type="dxa" w:w="1701"/>
            <w:shd w:val="clear" w:color="auto" w:fill="F2F5FA"/>
            <w:vAlign w:val="center"/>
          </w:tcPr>
          <w:p>
            <w:pPr>
              <w:spacing w:after="0"/>
            </w:pPr>
            <w:r>
              <w:rPr>
                <w:rFonts w:ascii="游ゴシック" w:hAnsi="游ゴシック" w:eastAsia="游ゴシック"/>
                <w:b w:val="0"/>
                <w:sz w:val="16"/>
              </w:rPr>
              <w:t>第6章第2節・第6節2</w:t>
            </w:r>
          </w:p>
        </w:tc>
      </w:tr>
      <w:tr>
        <w:trPr>
          <w:cantSplit/>
        </w:trPr>
        <w:tc>
          <w:tcPr>
            <w:tcW w:type="dxa" w:w="794"/>
            <w:vAlign w:val="center"/>
          </w:tcPr>
          <w:p>
            <w:pPr>
              <w:spacing w:after="0"/>
              <w:jc w:val="center"/>
            </w:pPr>
            <w:r>
              <w:rPr>
                <w:rFonts w:ascii="游ゴシック" w:hAnsi="游ゴシック" w:eastAsia="游ゴシック"/>
                <w:b w:val="0"/>
                <w:sz w:val="16"/>
              </w:rPr>
              <w:t>No.103</w:t>
            </w:r>
          </w:p>
        </w:tc>
        <w:tc>
          <w:tcPr>
            <w:tcW w:type="dxa" w:w="2608"/>
            <w:vAlign w:val="center"/>
          </w:tcPr>
          <w:p>
            <w:pPr>
              <w:spacing w:after="0"/>
            </w:pPr>
            <w:r>
              <w:rPr>
                <w:rFonts w:ascii="游ゴシック" w:hAnsi="游ゴシック" w:eastAsia="游ゴシック"/>
                <w:b w:val="0"/>
                <w:sz w:val="16"/>
              </w:rPr>
              <w:t>令和8年度を基準年度に用いず、季節を理由とする補正も行わないこと</w:t>
            </w:r>
          </w:p>
        </w:tc>
        <w:tc>
          <w:tcPr>
            <w:tcW w:type="dxa" w:w="4649"/>
            <w:vAlign w:val="center"/>
          </w:tcPr>
          <w:p>
            <w:pPr>
              <w:spacing w:after="0"/>
            </w:pPr>
            <w:r>
              <w:rPr>
                <w:rFonts w:ascii="游ゴシック" w:hAnsi="游ゴシック" w:eastAsia="游ゴシック"/>
                <w:b w:val="0"/>
                <w:sz w:val="16"/>
              </w:rPr>
              <w:t>令和8年度（4か月）を基準年度に用いず、季節による補正も行わない旨を注に明示した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No.107</w:t>
            </w:r>
          </w:p>
        </w:tc>
        <w:tc>
          <w:tcPr>
            <w:tcW w:type="dxa" w:w="2608"/>
            <w:shd w:val="clear" w:color="auto" w:fill="F2F5FA"/>
            <w:vAlign w:val="center"/>
          </w:tcPr>
          <w:p>
            <w:pPr>
              <w:spacing w:after="0"/>
            </w:pPr>
            <w:r>
              <w:rPr>
                <w:rFonts w:ascii="游ゴシック" w:hAnsi="游ゴシック" w:eastAsia="游ゴシック"/>
                <w:b w:val="0"/>
                <w:sz w:val="16"/>
              </w:rPr>
              <w:t>施設・居住系の実績の減少を将来へ延長するか</w:t>
            </w:r>
          </w:p>
        </w:tc>
        <w:tc>
          <w:tcPr>
            <w:tcW w:type="dxa" w:w="4649"/>
            <w:shd w:val="clear" w:color="auto" w:fill="F2F5FA"/>
            <w:vAlign w:val="center"/>
          </w:tcPr>
          <w:p>
            <w:pPr>
              <w:spacing w:after="0"/>
            </w:pPr>
            <w:r>
              <w:rPr>
                <w:rFonts w:ascii="游ゴシック" w:hAnsi="游ゴシック" w:eastAsia="游ゴシック"/>
                <w:b w:val="0"/>
                <w:sz w:val="16"/>
              </w:rPr>
              <w:t>施設及び居住系サービスの定員の縮小の趨勢を将来へ延長しない旨を注に明示した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No.141</w:t>
            </w:r>
          </w:p>
        </w:tc>
        <w:tc>
          <w:tcPr>
            <w:tcW w:type="dxa" w:w="2608"/>
            <w:vAlign w:val="center"/>
          </w:tcPr>
          <w:p>
            <w:pPr>
              <w:spacing w:after="0"/>
            </w:pPr>
            <w:r>
              <w:rPr>
                <w:rFonts w:ascii="游ゴシック" w:hAnsi="游ゴシック" w:eastAsia="游ゴシック"/>
                <w:b w:val="0"/>
                <w:sz w:val="16"/>
              </w:rPr>
              <w:t>区域を越えた施設利用の扱い</w:t>
            </w:r>
          </w:p>
        </w:tc>
        <w:tc>
          <w:tcPr>
            <w:tcW w:type="dxa" w:w="4649"/>
            <w:vAlign w:val="center"/>
          </w:tcPr>
          <w:p>
            <w:pPr>
              <w:spacing w:after="0"/>
            </w:pPr>
            <w:r>
              <w:rPr>
                <w:rFonts w:ascii="游ゴシック" w:hAnsi="游ゴシック" w:eastAsia="游ゴシック"/>
                <w:b w:val="0"/>
                <w:sz w:val="16"/>
              </w:rPr>
              <w:t>必要利用定員総数は現に指定を受けている定員を基礎とするもので、第2節の見込量（当連合の被保険者の受給者数）とは数える対象が異なる旨を注に明示した</w:t>
            </w:r>
          </w:p>
        </w:tc>
        <w:tc>
          <w:tcPr>
            <w:tcW w:type="dxa" w:w="1701"/>
            <w:vAlign w:val="center"/>
          </w:tcPr>
          <w:p>
            <w:pPr>
              <w:spacing w:after="0"/>
            </w:pPr>
            <w:r>
              <w:rPr>
                <w:rFonts w:ascii="游ゴシック" w:hAnsi="游ゴシック" w:eastAsia="游ゴシック"/>
                <w:b w:val="0"/>
                <w:sz w:val="16"/>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No.146</w:t>
            </w:r>
          </w:p>
        </w:tc>
        <w:tc>
          <w:tcPr>
            <w:tcW w:type="dxa" w:w="2608"/>
            <w:shd w:val="clear" w:color="auto" w:fill="F2F5FA"/>
            <w:vAlign w:val="center"/>
          </w:tcPr>
          <w:p>
            <w:pPr>
              <w:spacing w:after="0"/>
            </w:pPr>
            <w:r>
              <w:rPr>
                <w:rFonts w:ascii="游ゴシック" w:hAnsi="游ゴシック" w:eastAsia="游ゴシック"/>
                <w:b w:val="0"/>
                <w:sz w:val="16"/>
              </w:rPr>
              <w:t>見込量の伸びを要介護度別に改めてよいか</w:t>
            </w:r>
          </w:p>
        </w:tc>
        <w:tc>
          <w:tcPr>
            <w:tcW w:type="dxa" w:w="4649"/>
            <w:shd w:val="clear" w:color="auto" w:fill="F2F5FA"/>
            <w:vAlign w:val="center"/>
          </w:tcPr>
          <w:p>
            <w:pPr>
              <w:spacing w:after="0"/>
            </w:pPr>
            <w:r>
              <w:rPr>
                <w:rFonts w:ascii="游ゴシック" w:hAnsi="游ゴシック" w:eastAsia="游ゴシック"/>
                <w:b w:val="0"/>
                <w:sz w:val="16"/>
              </w:rPr>
              <w:t>要介護度別の伸びによる算定を採り、一律の伸びによる値との差を併記した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No.151</w:t>
            </w:r>
          </w:p>
        </w:tc>
        <w:tc>
          <w:tcPr>
            <w:tcW w:type="dxa" w:w="2608"/>
            <w:vAlign w:val="center"/>
          </w:tcPr>
          <w:p>
            <w:pPr>
              <w:spacing w:after="0"/>
            </w:pPr>
            <w:r>
              <w:rPr>
                <w:rFonts w:ascii="游ゴシック" w:hAnsi="游ゴシック" w:eastAsia="游ゴシック"/>
                <w:b w:val="0"/>
                <w:sz w:val="16"/>
              </w:rPr>
              <w:t>認知症対応型共同生活介護を対計画比の補正の対象から外してよいか</w:t>
            </w:r>
          </w:p>
        </w:tc>
        <w:tc>
          <w:tcPr>
            <w:tcW w:type="dxa" w:w="4649"/>
            <w:vAlign w:val="center"/>
          </w:tcPr>
          <w:p>
            <w:pPr>
              <w:spacing w:after="0"/>
            </w:pPr>
            <w:r>
              <w:rPr>
                <w:rFonts w:ascii="游ゴシック" w:hAnsi="游ゴシック" w:eastAsia="游ゴシック"/>
                <w:b w:val="0"/>
                <w:sz w:val="16"/>
              </w:rPr>
              <w:t>認知症対応型共同生活介護及び介護老人福祉施設は、実績の減少が定員の縮小によるものであるため、補正を行う場合でも対象から外す扱いとする旨を明示した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No.93</w:t>
            </w:r>
          </w:p>
        </w:tc>
        <w:tc>
          <w:tcPr>
            <w:tcW w:type="dxa" w:w="2608"/>
            <w:shd w:val="clear" w:color="auto" w:fill="F2F5FA"/>
            <w:vAlign w:val="center"/>
          </w:tcPr>
          <w:p>
            <w:pPr>
              <w:spacing w:after="0"/>
            </w:pPr>
            <w:r>
              <w:rPr>
                <w:rFonts w:ascii="游ゴシック" w:hAnsi="游ゴシック" w:eastAsia="游ゴシック"/>
                <w:b w:val="0"/>
                <w:sz w:val="16"/>
              </w:rPr>
              <w:t>財政調整交付金の算定における給付適正化主要3事業の取組状況の勘案</w:t>
            </w:r>
          </w:p>
        </w:tc>
        <w:tc>
          <w:tcPr>
            <w:tcW w:type="dxa" w:w="4649"/>
            <w:shd w:val="clear" w:color="auto" w:fill="F2F5FA"/>
            <w:vAlign w:val="center"/>
          </w:tcPr>
          <w:p>
            <w:pPr>
              <w:spacing w:after="0"/>
            </w:pPr>
            <w:r>
              <w:rPr>
                <w:rFonts w:ascii="游ゴシック" w:hAnsi="游ゴシック" w:eastAsia="游ゴシック"/>
                <w:b w:val="0"/>
                <w:sz w:val="16"/>
              </w:rPr>
              <w:t>主要3事業の取組状況が調整交付金の算定に勘案されることと、本計画がその減額を織り込んでいないことを明示した</w:t>
            </w:r>
          </w:p>
        </w:tc>
        <w:tc>
          <w:tcPr>
            <w:tcW w:type="dxa" w:w="1701"/>
            <w:shd w:val="clear" w:color="auto" w:fill="F2F5FA"/>
            <w:vAlign w:val="center"/>
          </w:tcPr>
          <w:p>
            <w:pPr>
              <w:spacing w:after="0"/>
            </w:pPr>
            <w:r>
              <w:rPr>
                <w:rFonts w:ascii="游ゴシック" w:hAnsi="游ゴシック" w:eastAsia="游ゴシック"/>
                <w:b w:val="0"/>
                <w:sz w:val="16"/>
              </w:rPr>
              <w:t>第5章 基本目標5・第6章第6節4</w:t>
            </w:r>
          </w:p>
        </w:tc>
      </w:tr>
      <w:tr>
        <w:trPr>
          <w:cantSplit/>
        </w:trPr>
        <w:tc>
          <w:tcPr>
            <w:tcW w:type="dxa" w:w="794"/>
            <w:vAlign w:val="center"/>
          </w:tcPr>
          <w:p>
            <w:pPr>
              <w:spacing w:after="0"/>
              <w:jc w:val="center"/>
            </w:pPr>
            <w:r>
              <w:rPr>
                <w:rFonts w:ascii="游ゴシック" w:hAnsi="游ゴシック" w:eastAsia="游ゴシック"/>
                <w:b w:val="0"/>
                <w:sz w:val="16"/>
              </w:rPr>
              <w:t>No.82</w:t>
            </w:r>
          </w:p>
        </w:tc>
        <w:tc>
          <w:tcPr>
            <w:tcW w:type="dxa" w:w="2608"/>
            <w:vAlign w:val="center"/>
          </w:tcPr>
          <w:p>
            <w:pPr>
              <w:spacing w:after="0"/>
            </w:pPr>
            <w:r>
              <w:rPr>
                <w:rFonts w:ascii="游ゴシック" w:hAnsi="游ゴシック" w:eastAsia="游ゴシック"/>
                <w:b w:val="0"/>
                <w:sz w:val="16"/>
              </w:rPr>
              <w:t>構成町の一般会計繰入金の町別按分の方法</w:t>
            </w:r>
          </w:p>
        </w:tc>
        <w:tc>
          <w:tcPr>
            <w:tcW w:type="dxa" w:w="4649"/>
            <w:vAlign w:val="center"/>
          </w:tcPr>
          <w:p>
            <w:pPr>
              <w:spacing w:after="0"/>
            </w:pPr>
            <w:r>
              <w:rPr>
                <w:rFonts w:ascii="游ゴシック" w:hAnsi="游ゴシック" w:eastAsia="游ゴシック"/>
                <w:b w:val="0"/>
                <w:sz w:val="16"/>
              </w:rPr>
              <w:t>町別への按分は規約によるため算定できないものとして、構成町の一般会計繰入金は3町計の概算のみを示した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No.123</w:t>
            </w:r>
          </w:p>
        </w:tc>
        <w:tc>
          <w:tcPr>
            <w:tcW w:type="dxa" w:w="2608"/>
            <w:shd w:val="clear" w:color="auto" w:fill="F2F5FA"/>
            <w:vAlign w:val="center"/>
          </w:tcPr>
          <w:p>
            <w:pPr>
              <w:spacing w:after="0"/>
            </w:pPr>
            <w:r>
              <w:rPr>
                <w:rFonts w:ascii="游ゴシック" w:hAnsi="游ゴシック" w:eastAsia="游ゴシック"/>
                <w:b w:val="0"/>
                <w:sz w:val="16"/>
              </w:rPr>
              <w:t>見える化システムの施設・居住系の画面から先へ進めない件</w:t>
            </w:r>
          </w:p>
        </w:tc>
        <w:tc>
          <w:tcPr>
            <w:tcW w:type="dxa" w:w="4649"/>
            <w:shd w:val="clear" w:color="auto" w:fill="F2F5FA"/>
            <w:vAlign w:val="center"/>
          </w:tcPr>
          <w:p>
            <w:pPr>
              <w:spacing w:after="0"/>
            </w:pPr>
            <w:r>
              <w:rPr>
                <w:rFonts w:ascii="游ゴシック" w:hAnsi="游ゴシック" w:eastAsia="游ゴシック"/>
                <w:b w:val="0"/>
                <w:sz w:val="16"/>
              </w:rPr>
              <w:t>見える化システムの推計値は現行の自然体推計のまま、給付費の置き方の対比（③）として掲げた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No.126</w:t>
            </w:r>
          </w:p>
        </w:tc>
        <w:tc>
          <w:tcPr>
            <w:tcW w:type="dxa" w:w="2608"/>
            <w:vAlign w:val="center"/>
          </w:tcPr>
          <w:p>
            <w:pPr>
              <w:spacing w:after="0"/>
            </w:pPr>
            <w:r>
              <w:rPr>
                <w:rFonts w:ascii="游ゴシック" w:hAnsi="游ゴシック" w:eastAsia="游ゴシック"/>
                <w:b w:val="0"/>
                <w:sz w:val="16"/>
              </w:rPr>
              <w:t>見える化システムの推計方式は基本推計でよいか</w:t>
            </w:r>
          </w:p>
        </w:tc>
        <w:tc>
          <w:tcPr>
            <w:tcW w:type="dxa" w:w="4649"/>
            <w:vAlign w:val="center"/>
          </w:tcPr>
          <w:p>
            <w:pPr>
              <w:spacing w:after="0"/>
            </w:pPr>
            <w:r>
              <w:rPr>
                <w:rFonts w:ascii="游ゴシック" w:hAnsi="游ゴシック" w:eastAsia="游ゴシック"/>
                <w:b w:val="0"/>
                <w:sz w:val="16"/>
              </w:rPr>
              <w:t>年齢階級別の人口に階級別・要介護度別の認定率を乗じる方法（見える化システムの基本推計に近いもの）により算定した</w:t>
            </w:r>
          </w:p>
        </w:tc>
        <w:tc>
          <w:tcPr>
            <w:tcW w:type="dxa" w:w="1701"/>
            <w:vAlign w:val="center"/>
          </w:tcPr>
          <w:p>
            <w:pPr>
              <w:spacing w:after="0"/>
            </w:pPr>
            <w:r>
              <w:rPr>
                <w:rFonts w:ascii="游ゴシック" w:hAnsi="游ゴシック" w:eastAsia="游ゴシック"/>
                <w:b w:val="0"/>
                <w:sz w:val="16"/>
              </w:rPr>
              <w:t>第6章第1節・第2節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No.130</w:t>
            </w:r>
          </w:p>
        </w:tc>
        <w:tc>
          <w:tcPr>
            <w:tcW w:type="dxa" w:w="2608"/>
            <w:shd w:val="clear" w:color="auto" w:fill="F2F5FA"/>
            <w:vAlign w:val="center"/>
          </w:tcPr>
          <w:p>
            <w:pPr>
              <w:spacing w:after="0"/>
            </w:pPr>
            <w:r>
              <w:rPr>
                <w:rFonts w:ascii="游ゴシック" w:hAnsi="游ゴシック" w:eastAsia="游ゴシック"/>
                <w:b w:val="0"/>
                <w:sz w:val="16"/>
              </w:rPr>
              <w:t>認知症基本法第13条の市町村認知症施策推進計画をどう扱うか</w:t>
            </w:r>
          </w:p>
        </w:tc>
        <w:tc>
          <w:tcPr>
            <w:tcW w:type="dxa" w:w="4649"/>
            <w:shd w:val="clear" w:color="auto" w:fill="F2F5FA"/>
            <w:vAlign w:val="center"/>
          </w:tcPr>
          <w:p>
            <w:pPr>
              <w:spacing w:after="0"/>
            </w:pPr>
            <w:r>
              <w:rPr>
                <w:rFonts w:ascii="游ゴシック" w:hAnsi="游ゴシック" w:eastAsia="游ゴシック"/>
                <w:b w:val="0"/>
                <w:sz w:val="16"/>
              </w:rPr>
              <w:t>認知症基本法第13条の市町村認知症施策推進計画は構成3町がそれぞれ策定するものとして反映した</w:t>
            </w:r>
          </w:p>
        </w:tc>
        <w:tc>
          <w:tcPr>
            <w:tcW w:type="dxa" w:w="1701"/>
            <w:shd w:val="clear" w:color="auto" w:fill="F2F5FA"/>
            <w:vAlign w:val="center"/>
          </w:tcPr>
          <w:p>
            <w:pPr>
              <w:spacing w:after="0"/>
            </w:pPr>
            <w:r>
              <w:rPr>
                <w:rFonts w:ascii="游ゴシック" w:hAnsi="游ゴシック" w:eastAsia="游ゴシック"/>
                <w:b w:val="0"/>
                <w:sz w:val="16"/>
              </w:rPr>
              <w:t>第1章第2節・第8節・第5章 基本目標2・資料2</w:t>
            </w:r>
          </w:p>
        </w:tc>
      </w:tr>
      <w:tr>
        <w:trPr>
          <w:cantSplit/>
        </w:trPr>
        <w:tc>
          <w:tcPr>
            <w:tcW w:type="dxa" w:w="794"/>
            <w:vAlign w:val="center"/>
          </w:tcPr>
          <w:p>
            <w:pPr>
              <w:spacing w:after="0"/>
              <w:jc w:val="center"/>
            </w:pPr>
            <w:r>
              <w:rPr>
                <w:rFonts w:ascii="游ゴシック" w:hAnsi="游ゴシック" w:eastAsia="游ゴシック"/>
                <w:b w:val="0"/>
                <w:sz w:val="16"/>
              </w:rPr>
              <w:t>No.104</w:t>
            </w:r>
          </w:p>
        </w:tc>
        <w:tc>
          <w:tcPr>
            <w:tcW w:type="dxa" w:w="2608"/>
            <w:vAlign w:val="center"/>
          </w:tcPr>
          <w:p>
            <w:pPr>
              <w:spacing w:after="0"/>
            </w:pPr>
            <w:r>
              <w:rPr>
                <w:rFonts w:ascii="游ゴシック" w:hAnsi="游ゴシック" w:eastAsia="游ゴシック"/>
                <w:b w:val="0"/>
                <w:sz w:val="16"/>
              </w:rPr>
              <w:t>第10期の単価を令和7年度で固定するか、令和8年度の水準を反映するか</w:t>
            </w:r>
          </w:p>
        </w:tc>
        <w:tc>
          <w:tcPr>
            <w:tcW w:type="dxa" w:w="4649"/>
            <w:vAlign w:val="center"/>
          </w:tcPr>
          <w:p>
            <w:pPr>
              <w:spacing w:after="0"/>
            </w:pPr>
            <w:r>
              <w:rPr>
                <w:rFonts w:ascii="游ゴシック" w:hAnsi="游ゴシック" w:eastAsia="游ゴシック"/>
                <w:b w:val="0"/>
                <w:sz w:val="16"/>
              </w:rPr>
              <w:t>単価を令和7年度で固定し、令和8年度の水準（残差）に置いた場合の月額への効きを据え置きの一覧に示した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No.109</w:t>
            </w:r>
          </w:p>
        </w:tc>
        <w:tc>
          <w:tcPr>
            <w:tcW w:type="dxa" w:w="2608"/>
            <w:shd w:val="clear" w:color="auto" w:fill="F2F5FA"/>
            <w:vAlign w:val="center"/>
          </w:tcPr>
          <w:p>
            <w:pPr>
              <w:spacing w:after="0"/>
            </w:pPr>
            <w:r>
              <w:rPr>
                <w:rFonts w:ascii="游ゴシック" w:hAnsi="游ゴシック" w:eastAsia="游ゴシック"/>
                <w:b w:val="0"/>
                <w:sz w:val="16"/>
              </w:rPr>
              <w:t>第10期の単価を令和7年度で固定するか、実績の趨勢を置くか</w:t>
            </w:r>
          </w:p>
        </w:tc>
        <w:tc>
          <w:tcPr>
            <w:tcW w:type="dxa" w:w="4649"/>
            <w:shd w:val="clear" w:color="auto" w:fill="F2F5FA"/>
            <w:vAlign w:val="center"/>
          </w:tcPr>
          <w:p>
            <w:pPr>
              <w:spacing w:after="0"/>
            </w:pPr>
            <w:r>
              <w:rPr>
                <w:rFonts w:ascii="游ゴシック" w:hAnsi="游ゴシック" w:eastAsia="游ゴシック"/>
                <w:b w:val="0"/>
                <w:sz w:val="16"/>
              </w:rPr>
              <w:t>単価を令和7年度で固定し、実績の趨勢を置いた場合の月額への効きを併記した</w:t>
            </w:r>
          </w:p>
        </w:tc>
        <w:tc>
          <w:tcPr>
            <w:tcW w:type="dxa" w:w="1701"/>
            <w:shd w:val="clear" w:color="auto" w:fill="F2F5FA"/>
            <w:vAlign w:val="center"/>
          </w:tcPr>
          <w:p>
            <w:pPr>
              <w:spacing w:after="0"/>
            </w:pPr>
            <w:r>
              <w:rPr>
                <w:rFonts w:ascii="游ゴシック" w:hAnsi="游ゴシック" w:eastAsia="游ゴシック"/>
                <w:b w:val="0"/>
                <w:sz w:val="16"/>
              </w:rPr>
              <w:t>第6章第6節2</w:t>
            </w:r>
          </w:p>
        </w:tc>
      </w:tr>
      <w:tr>
        <w:trPr>
          <w:cantSplit/>
        </w:trPr>
        <w:tc>
          <w:tcPr>
            <w:tcW w:type="dxa" w:w="794"/>
            <w:vAlign w:val="center"/>
          </w:tcPr>
          <w:p>
            <w:pPr>
              <w:spacing w:after="0"/>
              <w:jc w:val="center"/>
            </w:pPr>
            <w:r>
              <w:rPr>
                <w:rFonts w:ascii="游ゴシック" w:hAnsi="游ゴシック" w:eastAsia="游ゴシック"/>
                <w:b w:val="0"/>
                <w:sz w:val="16"/>
              </w:rPr>
              <w:t>No.114</w:t>
            </w:r>
          </w:p>
        </w:tc>
        <w:tc>
          <w:tcPr>
            <w:tcW w:type="dxa" w:w="2608"/>
            <w:vAlign w:val="center"/>
          </w:tcPr>
          <w:p>
            <w:pPr>
              <w:spacing w:after="0"/>
            </w:pPr>
            <w:r>
              <w:rPr>
                <w:rFonts w:ascii="游ゴシック" w:hAnsi="游ゴシック" w:eastAsia="游ゴシック"/>
                <w:b w:val="0"/>
                <w:sz w:val="16"/>
              </w:rPr>
              <w:t>令和22年度までの中長期推計をどこまで算定するか</w:t>
            </w:r>
          </w:p>
        </w:tc>
        <w:tc>
          <w:tcPr>
            <w:tcW w:type="dxa" w:w="4649"/>
            <w:vAlign w:val="center"/>
          </w:tcPr>
          <w:p>
            <w:pPr>
              <w:spacing w:after="0"/>
            </w:pPr>
            <w:r>
              <w:rPr>
                <w:rFonts w:ascii="游ゴシック" w:hAnsi="游ゴシック" w:eastAsia="游ゴシック"/>
                <w:b w:val="0"/>
                <w:sz w:val="16"/>
              </w:rPr>
              <w:t>計画本文に掲げる中長期推計は令和17年度・令和22年度とし、見込量・給付費・保険料のいずれも単価を令和7年度で固定して算定した</w:t>
            </w:r>
          </w:p>
        </w:tc>
        <w:tc>
          <w:tcPr>
            <w:tcW w:type="dxa" w:w="1701"/>
            <w:vAlign w:val="center"/>
          </w:tcPr>
          <w:p>
            <w:pPr>
              <w:spacing w:after="0"/>
            </w:pPr>
            <w:r>
              <w:rPr>
                <w:rFonts w:ascii="游ゴシック" w:hAnsi="游ゴシック" w:eastAsia="游ゴシック"/>
                <w:b w:val="0"/>
                <w:sz w:val="16"/>
              </w:rPr>
              <w:t>第6章第1節・第3節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No.132</w:t>
            </w:r>
          </w:p>
        </w:tc>
        <w:tc>
          <w:tcPr>
            <w:tcW w:type="dxa" w:w="2608"/>
            <w:shd w:val="clear" w:color="auto" w:fill="F2F5FA"/>
            <w:vAlign w:val="center"/>
          </w:tcPr>
          <w:p>
            <w:pPr>
              <w:spacing w:after="0"/>
            </w:pPr>
            <w:r>
              <w:rPr>
                <w:rFonts w:ascii="游ゴシック" w:hAnsi="游ゴシック" w:eastAsia="游ゴシック"/>
                <w:b w:val="0"/>
                <w:sz w:val="16"/>
              </w:rPr>
              <w:t>在宅サービスの実績見込み値の編集画面の現在値のご提供</w:t>
            </w:r>
          </w:p>
        </w:tc>
        <w:tc>
          <w:tcPr>
            <w:tcW w:type="dxa" w:w="4649"/>
            <w:shd w:val="clear" w:color="auto" w:fill="F2F5FA"/>
            <w:vAlign w:val="center"/>
          </w:tcPr>
          <w:p>
            <w:pPr>
              <w:spacing w:after="0"/>
            </w:pPr>
            <w:r>
              <w:rPr>
                <w:rFonts w:ascii="游ゴシック" w:hAnsi="游ゴシック" w:eastAsia="游ゴシック"/>
                <w:b w:val="0"/>
                <w:sz w:val="16"/>
              </w:rPr>
              <w:t>在宅サービスの実績見込み値は当方の入力案のまま置いた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No.142</w:t>
            </w:r>
          </w:p>
        </w:tc>
        <w:tc>
          <w:tcPr>
            <w:tcW w:type="dxa" w:w="2608"/>
            <w:vAlign w:val="center"/>
          </w:tcPr>
          <w:p>
            <w:pPr>
              <w:spacing w:after="0"/>
            </w:pPr>
            <w:r>
              <w:rPr>
                <w:rFonts w:ascii="游ゴシック" w:hAnsi="游ゴシック" w:eastAsia="游ゴシック"/>
                <w:b w:val="0"/>
                <w:sz w:val="16"/>
              </w:rPr>
              <w:t>第1次概算を既定値のまま出してよいか</w:t>
            </w:r>
          </w:p>
        </w:tc>
        <w:tc>
          <w:tcPr>
            <w:tcW w:type="dxa" w:w="4649"/>
            <w:vAlign w:val="center"/>
          </w:tcPr>
          <w:p>
            <w:pPr>
              <w:spacing w:after="0"/>
            </w:pPr>
            <w:r>
              <w:rPr>
                <w:rFonts w:ascii="游ゴシック" w:hAnsi="游ゴシック" w:eastAsia="游ゴシック"/>
                <w:b w:val="0"/>
                <w:sz w:val="16"/>
              </w:rPr>
              <w:t>ご決定をお待ちしている事項は既定値によって算定していることを算定の冒頭に明示した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No.145</w:t>
            </w:r>
          </w:p>
        </w:tc>
        <w:tc>
          <w:tcPr>
            <w:tcW w:type="dxa" w:w="2608"/>
            <w:shd w:val="clear" w:color="auto" w:fill="F2F5FA"/>
            <w:vAlign w:val="center"/>
          </w:tcPr>
          <w:p>
            <w:pPr>
              <w:spacing w:after="0"/>
            </w:pPr>
            <w:r>
              <w:rPr>
                <w:rFonts w:ascii="游ゴシック" w:hAnsi="游ゴシック" w:eastAsia="游ゴシック"/>
                <w:b w:val="0"/>
                <w:sz w:val="16"/>
              </w:rPr>
              <w:t>計画作成支援ツールと年報のどちらを町別の値に用いるか</w:t>
            </w:r>
          </w:p>
        </w:tc>
        <w:tc>
          <w:tcPr>
            <w:tcW w:type="dxa" w:w="4649"/>
            <w:shd w:val="clear" w:color="auto" w:fill="F2F5FA"/>
            <w:vAlign w:val="center"/>
          </w:tcPr>
          <w:p>
            <w:pPr>
              <w:spacing w:after="0"/>
            </w:pPr>
            <w:r>
              <w:rPr>
                <w:rFonts w:ascii="游ゴシック" w:hAnsi="游ゴシック" w:eastAsia="游ゴシック"/>
                <w:b w:val="0"/>
                <w:sz w:val="16"/>
              </w:rPr>
              <w:t>サービス見込量・給付費・保険料は年報（保険者単位）により算定し、町別データシートは計画作成支援ツールの値のまま示したうえで、3町を足しても年報の値にならない旨を注記した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No.147</w:t>
            </w:r>
          </w:p>
        </w:tc>
        <w:tc>
          <w:tcPr>
            <w:tcW w:type="dxa" w:w="2608"/>
            <w:vAlign w:val="center"/>
          </w:tcPr>
          <w:p>
            <w:pPr>
              <w:spacing w:after="0"/>
            </w:pPr>
            <w:r>
              <w:rPr>
                <w:rFonts w:ascii="游ゴシック" w:hAnsi="游ゴシック" w:eastAsia="游ゴシック"/>
                <w:b w:val="0"/>
                <w:sz w:val="16"/>
              </w:rPr>
              <w:t>見える化システムの伸びの選択肢をどれとするか</w:t>
            </w:r>
          </w:p>
        </w:tc>
        <w:tc>
          <w:tcPr>
            <w:tcW w:type="dxa" w:w="4649"/>
            <w:vAlign w:val="center"/>
          </w:tcPr>
          <w:p>
            <w:pPr>
              <w:spacing w:after="0"/>
            </w:pPr>
            <w:r>
              <w:rPr>
                <w:rFonts w:ascii="游ゴシック" w:hAnsi="游ゴシック" w:eastAsia="游ゴシック"/>
                <w:b w:val="0"/>
                <w:sz w:val="16"/>
              </w:rPr>
              <w:t>見える化システムの伸びは令和8年度を含まない（令和6年度→令和7年度）を採ったものとして入力値を示した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No.84</w:t>
            </w:r>
          </w:p>
        </w:tc>
        <w:tc>
          <w:tcPr>
            <w:tcW w:type="dxa" w:w="2608"/>
            <w:shd w:val="clear" w:color="auto" w:fill="F2F5FA"/>
            <w:vAlign w:val="center"/>
          </w:tcPr>
          <w:p>
            <w:pPr>
              <w:spacing w:after="0"/>
            </w:pPr>
            <w:r>
              <w:rPr>
                <w:rFonts w:ascii="游ゴシック" w:hAnsi="游ゴシック" w:eastAsia="游ゴシック"/>
                <w:b w:val="0"/>
                <w:sz w:val="16"/>
              </w:rPr>
              <w:t>東川町の施設整備・サービス提供方針</w:t>
            </w:r>
          </w:p>
        </w:tc>
        <w:tc>
          <w:tcPr>
            <w:tcW w:type="dxa" w:w="4649"/>
            <w:shd w:val="clear" w:color="auto" w:fill="F2F5FA"/>
            <w:vAlign w:val="center"/>
          </w:tcPr>
          <w:p>
            <w:pPr>
              <w:spacing w:after="0"/>
            </w:pPr>
            <w:r>
              <w:rPr>
                <w:rFonts w:ascii="游ゴシック" w:hAnsi="游ゴシック" w:eastAsia="游ゴシック"/>
                <w:b w:val="0"/>
                <w:sz w:val="16"/>
              </w:rPr>
              <w:t>現定員の据え置き案を掲げ、本文は［要協議］のまま残した</w:t>
            </w:r>
          </w:p>
        </w:tc>
        <w:tc>
          <w:tcPr>
            <w:tcW w:type="dxa" w:w="1701"/>
            <w:shd w:val="clear" w:color="auto" w:fill="F2F5FA"/>
            <w:vAlign w:val="center"/>
          </w:tcPr>
          <w:p>
            <w:pPr>
              <w:spacing w:after="0"/>
            </w:pPr>
            <w:r>
              <w:rPr>
                <w:rFonts w:ascii="游ゴシック" w:hAnsi="游ゴシック" w:eastAsia="游ゴシック"/>
                <w:b w:val="0"/>
                <w:sz w:val="16"/>
              </w:rPr>
              <w:t>第6章第4節4</w:t>
            </w:r>
          </w:p>
        </w:tc>
      </w:tr>
      <w:tr>
        <w:trPr>
          <w:cantSplit/>
        </w:trPr>
        <w:tc>
          <w:tcPr>
            <w:tcW w:type="dxa" w:w="794"/>
            <w:vAlign w:val="center"/>
          </w:tcPr>
          <w:p>
            <w:pPr>
              <w:spacing w:after="0"/>
              <w:jc w:val="center"/>
            </w:pPr>
            <w:r>
              <w:rPr>
                <w:rFonts w:ascii="游ゴシック" w:hAnsi="游ゴシック" w:eastAsia="游ゴシック"/>
                <w:b w:val="0"/>
                <w:sz w:val="16"/>
              </w:rPr>
              <w:t>No.116</w:t>
            </w:r>
          </w:p>
        </w:tc>
        <w:tc>
          <w:tcPr>
            <w:tcW w:type="dxa" w:w="2608"/>
            <w:vAlign w:val="center"/>
          </w:tcPr>
          <w:p>
            <w:pPr>
              <w:spacing w:after="0"/>
            </w:pPr>
            <w:r>
              <w:rPr>
                <w:rFonts w:ascii="游ゴシック" w:hAnsi="游ゴシック" w:eastAsia="游ゴシック"/>
                <w:b w:val="0"/>
                <w:sz w:val="16"/>
              </w:rPr>
              <w:t>介護人材の確保状況を供給の制約として見込量に反映するか</w:t>
            </w:r>
          </w:p>
        </w:tc>
        <w:tc>
          <w:tcPr>
            <w:tcW w:type="dxa" w:w="4649"/>
            <w:vAlign w:val="center"/>
          </w:tcPr>
          <w:p>
            <w:pPr>
              <w:spacing w:after="0"/>
            </w:pPr>
            <w:r>
              <w:rPr>
                <w:rFonts w:ascii="游ゴシック" w:hAnsi="游ゴシック" w:eastAsia="游ゴシック"/>
                <w:b w:val="0"/>
                <w:sz w:val="16"/>
              </w:rPr>
              <w:t>供給の制約（人材）を見込量に反映せず、需要のみで算定した旨を注に明示した</w:t>
            </w:r>
          </w:p>
        </w:tc>
        <w:tc>
          <w:tcPr>
            <w:tcW w:type="dxa" w:w="1701"/>
            <w:vAlign w:val="center"/>
          </w:tcPr>
          <w:p>
            <w:pPr>
              <w:spacing w:after="0"/>
            </w:pPr>
            <w:r>
              <w:rPr>
                <w:rFonts w:ascii="游ゴシック" w:hAnsi="游ゴシック" w:eastAsia="游ゴシック"/>
                <w:b w:val="0"/>
                <w:sz w:val="16"/>
              </w:rPr>
              <w:t>第6章第2節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No.152</w:t>
            </w:r>
          </w:p>
        </w:tc>
        <w:tc>
          <w:tcPr>
            <w:tcW w:type="dxa" w:w="2608"/>
            <w:shd w:val="clear" w:color="auto" w:fill="F2F5FA"/>
            <w:vAlign w:val="center"/>
          </w:tcPr>
          <w:p>
            <w:pPr>
              <w:spacing w:after="0"/>
            </w:pPr>
            <w:r>
              <w:rPr>
                <w:rFonts w:ascii="游ゴシック" w:hAnsi="游ゴシック" w:eastAsia="游ゴシック"/>
                <w:b w:val="0"/>
                <w:sz w:val="16"/>
              </w:rPr>
              <w:t>町別の人口の将来推計を計画本文に掲げるか</w:t>
            </w:r>
          </w:p>
        </w:tc>
        <w:tc>
          <w:tcPr>
            <w:tcW w:type="dxa" w:w="4649"/>
            <w:shd w:val="clear" w:color="auto" w:fill="F2F5FA"/>
            <w:vAlign w:val="center"/>
          </w:tcPr>
          <w:p>
            <w:pPr>
              <w:spacing w:after="0"/>
            </w:pPr>
            <w:r>
              <w:rPr>
                <w:rFonts w:ascii="游ゴシック" w:hAnsi="游ゴシック" w:eastAsia="游ゴシック"/>
                <w:b w:val="0"/>
                <w:sz w:val="16"/>
              </w:rPr>
              <w:t>町別の人口の将来推計は計画本文に掲げていない</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No.153</w:t>
            </w:r>
          </w:p>
        </w:tc>
        <w:tc>
          <w:tcPr>
            <w:tcW w:type="dxa" w:w="2608"/>
            <w:vAlign w:val="center"/>
          </w:tcPr>
          <w:p>
            <w:pPr>
              <w:spacing w:after="0"/>
            </w:pPr>
            <w:r>
              <w:rPr>
                <w:rFonts w:ascii="游ゴシック" w:hAnsi="游ゴシック" w:eastAsia="游ゴシック"/>
                <w:b w:val="0"/>
                <w:sz w:val="16"/>
              </w:rPr>
              <w:t>人口の将来推計の方法を案Cからコーホート変化率法に改めるか</w:t>
            </w:r>
          </w:p>
        </w:tc>
        <w:tc>
          <w:tcPr>
            <w:tcW w:type="dxa" w:w="4649"/>
            <w:vAlign w:val="center"/>
          </w:tcPr>
          <w:p>
            <w:pPr>
              <w:spacing w:after="0"/>
            </w:pPr>
            <w:r>
              <w:rPr>
                <w:rFonts w:ascii="游ゴシック" w:hAnsi="游ゴシック" w:eastAsia="游ゴシック"/>
                <w:b w:val="0"/>
                <w:sz w:val="16"/>
              </w:rPr>
              <w:t>人口の将来推計は案C（地方創生総合戦略と住民基本台帳の実績趨勢）によった</w:t>
            </w:r>
          </w:p>
        </w:tc>
        <w:tc>
          <w:tcPr>
            <w:tcW w:type="dxa" w:w="1701"/>
            <w:vAlign w:val="center"/>
          </w:tcPr>
          <w:p>
            <w:pPr>
              <w:spacing w:after="0"/>
            </w:pPr>
            <w:r>
              <w:rPr>
                <w:rFonts w:ascii="游ゴシック" w:hAnsi="游ゴシック" w:eastAsia="游ゴシック"/>
                <w:b w:val="0"/>
                <w:sz w:val="16"/>
              </w:rPr>
              <w:t>第2章第1節・第6章第1節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No.7</w:t>
            </w:r>
          </w:p>
        </w:tc>
        <w:tc>
          <w:tcPr>
            <w:tcW w:type="dxa" w:w="2608"/>
            <w:shd w:val="clear" w:color="auto" w:fill="F2F5FA"/>
            <w:vAlign w:val="center"/>
          </w:tcPr>
          <w:p>
            <w:pPr>
              <w:spacing w:after="0"/>
            </w:pPr>
            <w:r>
              <w:rPr>
                <w:rFonts w:ascii="游ゴシック" w:hAnsi="游ゴシック" w:eastAsia="游ゴシック"/>
                <w:b w:val="0"/>
                <w:sz w:val="16"/>
              </w:rPr>
              <w:t>第9期の自己評価と北海道への報告の実績</w:t>
            </w:r>
          </w:p>
        </w:tc>
        <w:tc>
          <w:tcPr>
            <w:tcW w:type="dxa" w:w="4649"/>
            <w:shd w:val="clear" w:color="auto" w:fill="F2F5FA"/>
            <w:vAlign w:val="center"/>
          </w:tcPr>
          <w:p>
            <w:pPr>
              <w:spacing w:after="0"/>
            </w:pPr>
            <w:r>
              <w:rPr>
                <w:rFonts w:ascii="游ゴシック" w:hAnsi="游ゴシック" w:eastAsia="游ゴシック"/>
                <w:b w:val="0"/>
                <w:sz w:val="16"/>
              </w:rPr>
              <w:t>第9期の自己評価及び北海道への報告の実績は確認できないものとして、毎年度の自己評価の結果を策定委員会へ報告し北海道への報告にも用いることを置いた</w:t>
            </w:r>
          </w:p>
        </w:tc>
        <w:tc>
          <w:tcPr>
            <w:tcW w:type="dxa" w:w="1701"/>
            <w:shd w:val="clear" w:color="auto" w:fill="F2F5FA"/>
            <w:vAlign w:val="center"/>
          </w:tcPr>
          <w:p>
            <w:pPr>
              <w:spacing w:after="0"/>
            </w:pPr>
            <w:r>
              <w:rPr>
                <w:rFonts w:ascii="游ゴシック" w:hAnsi="游ゴシック" w:eastAsia="游ゴシック"/>
                <w:b w:val="0"/>
                <w:sz w:val="16"/>
              </w:rPr>
              <w:t>第1章第6節</w:t>
            </w:r>
          </w:p>
        </w:tc>
      </w:tr>
      <w:tr>
        <w:trPr>
          <w:cantSplit/>
        </w:trPr>
        <w:tc>
          <w:tcPr>
            <w:tcW w:type="dxa" w:w="794"/>
            <w:vAlign w:val="center"/>
          </w:tcPr>
          <w:p>
            <w:pPr>
              <w:spacing w:after="0"/>
              <w:jc w:val="center"/>
            </w:pPr>
            <w:r>
              <w:rPr>
                <w:rFonts w:ascii="游ゴシック" w:hAnsi="游ゴシック" w:eastAsia="游ゴシック"/>
                <w:b w:val="0"/>
                <w:sz w:val="16"/>
              </w:rPr>
              <w:t>No.86</w:t>
            </w:r>
          </w:p>
        </w:tc>
        <w:tc>
          <w:tcPr>
            <w:tcW w:type="dxa" w:w="2608"/>
            <w:vAlign w:val="center"/>
          </w:tcPr>
          <w:p>
            <w:pPr>
              <w:spacing w:after="0"/>
            </w:pPr>
            <w:r>
              <w:rPr>
                <w:rFonts w:ascii="游ゴシック" w:hAnsi="游ゴシック" w:eastAsia="游ゴシック"/>
                <w:b w:val="0"/>
                <w:sz w:val="16"/>
              </w:rPr>
              <w:t>保険者機能強化推進交付金等の交付見込額の保険料収納必要額からの控除</w:t>
            </w:r>
          </w:p>
        </w:tc>
        <w:tc>
          <w:tcPr>
            <w:tcW w:type="dxa" w:w="4649"/>
            <w:vAlign w:val="center"/>
          </w:tcPr>
          <w:p>
            <w:pPr>
              <w:spacing w:after="0"/>
            </w:pPr>
            <w:r>
              <w:rPr>
                <w:rFonts w:ascii="游ゴシック" w:hAnsi="游ゴシック" w:eastAsia="游ゴシック"/>
                <w:b w:val="0"/>
                <w:sz w:val="16"/>
              </w:rPr>
              <w:t>地域支援事業費（B）から交付金を財源とする2事業を除く方法により、保険料収納必要額からの控除は行わない旨（二重控除を避ける）を明示した</w:t>
            </w:r>
          </w:p>
        </w:tc>
        <w:tc>
          <w:tcPr>
            <w:tcW w:type="dxa" w:w="1701"/>
            <w:vAlign w:val="center"/>
          </w:tcPr>
          <w:p>
            <w:pPr>
              <w:spacing w:after="0"/>
            </w:pPr>
            <w:r>
              <w:rPr>
                <w:rFonts w:ascii="游ゴシック" w:hAnsi="游ゴシック" w:eastAsia="游ゴシック"/>
                <w:b w:val="0"/>
                <w:sz w:val="16"/>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No.94</w:t>
            </w:r>
          </w:p>
        </w:tc>
        <w:tc>
          <w:tcPr>
            <w:tcW w:type="dxa" w:w="2608"/>
            <w:shd w:val="clear" w:color="auto" w:fill="F2F5FA"/>
            <w:vAlign w:val="center"/>
          </w:tcPr>
          <w:p>
            <w:pPr>
              <w:spacing w:after="0"/>
            </w:pPr>
            <w:r>
              <w:rPr>
                <w:rFonts w:ascii="游ゴシック" w:hAnsi="游ゴシック" w:eastAsia="游ゴシック"/>
                <w:b w:val="0"/>
                <w:sz w:val="16"/>
              </w:rPr>
              <w:t>給付適正化計画の位置づけ（案Bの採用）と毎年度の目標の記載場所</w:t>
            </w:r>
          </w:p>
        </w:tc>
        <w:tc>
          <w:tcPr>
            <w:tcW w:type="dxa" w:w="4649"/>
            <w:shd w:val="clear" w:color="auto" w:fill="F2F5FA"/>
            <w:vAlign w:val="center"/>
          </w:tcPr>
          <w:p>
            <w:pPr>
              <w:spacing w:after="0"/>
            </w:pPr>
            <w:r>
              <w:rPr>
                <w:rFonts w:ascii="游ゴシック" w:hAnsi="游ゴシック" w:eastAsia="游ゴシック"/>
                <w:b w:val="0"/>
                <w:sz w:val="16"/>
              </w:rPr>
              <w:t>給付適正化計画は第9期と同じく施策として置き、施策名のかっこ書きで第7期給付適正化計画であることを示した</w:t>
            </w:r>
          </w:p>
        </w:tc>
        <w:tc>
          <w:tcPr>
            <w:tcW w:type="dxa" w:w="1701"/>
            <w:shd w:val="clear" w:color="auto" w:fill="F2F5FA"/>
            <w:vAlign w:val="center"/>
          </w:tcPr>
          <w:p>
            <w:pPr>
              <w:spacing w:after="0"/>
            </w:pPr>
            <w:r>
              <w:rPr>
                <w:rFonts w:ascii="游ゴシック" w:hAnsi="游ゴシック" w:eastAsia="游ゴシック"/>
                <w:b w:val="0"/>
                <w:sz w:val="16"/>
              </w:rPr>
              <w:t>第1章第2節・第5章 基本目標5・資料5</w:t>
            </w:r>
          </w:p>
        </w:tc>
      </w:tr>
      <w:tr>
        <w:trPr>
          <w:cantSplit/>
        </w:trPr>
        <w:tc>
          <w:tcPr>
            <w:tcW w:type="dxa" w:w="794"/>
            <w:vAlign w:val="center"/>
          </w:tcPr>
          <w:p>
            <w:pPr>
              <w:spacing w:after="0"/>
              <w:jc w:val="center"/>
            </w:pPr>
            <w:r>
              <w:rPr>
                <w:rFonts w:ascii="游ゴシック" w:hAnsi="游ゴシック" w:eastAsia="游ゴシック"/>
                <w:b w:val="0"/>
                <w:sz w:val="16"/>
              </w:rPr>
              <w:t>No.128</w:t>
            </w:r>
          </w:p>
        </w:tc>
        <w:tc>
          <w:tcPr>
            <w:tcW w:type="dxa" w:w="2608"/>
            <w:vAlign w:val="center"/>
          </w:tcPr>
          <w:p>
            <w:pPr>
              <w:spacing w:after="0"/>
            </w:pPr>
            <w:r>
              <w:rPr>
                <w:rFonts w:ascii="游ゴシック" w:hAnsi="游ゴシック" w:eastAsia="游ゴシック"/>
                <w:b w:val="0"/>
                <w:sz w:val="16"/>
              </w:rPr>
              <w:t>令和8年度の実績見込み値を編集するか</w:t>
            </w:r>
          </w:p>
        </w:tc>
        <w:tc>
          <w:tcPr>
            <w:tcW w:type="dxa" w:w="4649"/>
            <w:vAlign w:val="center"/>
          </w:tcPr>
          <w:p>
            <w:pPr>
              <w:spacing w:after="0"/>
            </w:pPr>
            <w:r>
              <w:rPr>
                <w:rFonts w:ascii="游ゴシック" w:hAnsi="游ゴシック" w:eastAsia="游ゴシック"/>
                <w:b w:val="0"/>
                <w:sz w:val="16"/>
              </w:rPr>
              <w:t>見える化システムの令和8年度の実績見込み値は編集しないものとして入力値を示し、当方の算定（令和7年度基準）との差として残した</w:t>
            </w:r>
          </w:p>
        </w:tc>
        <w:tc>
          <w:tcPr>
            <w:tcW w:type="dxa" w:w="1701"/>
            <w:vAlign w:val="center"/>
          </w:tcPr>
          <w:p>
            <w:pPr>
              <w:spacing w:after="0"/>
            </w:pPr>
            <w:r>
              <w:rPr>
                <w:rFonts w:ascii="游ゴシック" w:hAnsi="游ゴシック" w:eastAsia="游ゴシック"/>
                <w:b w:val="0"/>
                <w:sz w:val="16"/>
              </w:rPr>
              <w:t>―</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No.129</w:t>
            </w:r>
          </w:p>
        </w:tc>
        <w:tc>
          <w:tcPr>
            <w:tcW w:type="dxa" w:w="2608"/>
            <w:shd w:val="clear" w:color="auto" w:fill="F2F5FA"/>
            <w:vAlign w:val="center"/>
          </w:tcPr>
          <w:p>
            <w:pPr>
              <w:spacing w:after="0"/>
            </w:pPr>
            <w:r>
              <w:rPr>
                <w:rFonts w:ascii="游ゴシック" w:hAnsi="游ゴシック" w:eastAsia="游ゴシック"/>
                <w:b w:val="0"/>
                <w:sz w:val="16"/>
              </w:rPr>
              <w:t>見える化システムの利用率等の伸びの選択</w:t>
            </w:r>
          </w:p>
        </w:tc>
        <w:tc>
          <w:tcPr>
            <w:tcW w:type="dxa" w:w="4649"/>
            <w:shd w:val="clear" w:color="auto" w:fill="F2F5FA"/>
            <w:vAlign w:val="center"/>
          </w:tcPr>
          <w:p>
            <w:pPr>
              <w:spacing w:after="0"/>
            </w:pPr>
            <w:r>
              <w:rPr>
                <w:rFonts w:ascii="游ゴシック" w:hAnsi="游ゴシック" w:eastAsia="游ゴシック"/>
                <w:b w:val="0"/>
                <w:sz w:val="16"/>
              </w:rPr>
              <w:t>見える化システムの利用率等の伸びは令和8年度を含まない（令和6年度→令和7年度）を選んだものとして入力値を示した</w:t>
            </w:r>
          </w:p>
        </w:tc>
        <w:tc>
          <w:tcPr>
            <w:tcW w:type="dxa" w:w="1701"/>
            <w:shd w:val="clear" w:color="auto" w:fill="F2F5FA"/>
            <w:vAlign w:val="center"/>
          </w:tcPr>
          <w:p>
            <w:pPr>
              <w:spacing w:after="0"/>
            </w:pPr>
            <w:r>
              <w:rPr>
                <w:rFonts w:ascii="游ゴシック" w:hAnsi="游ゴシック" w:eastAsia="游ゴシック"/>
                <w:b w:val="0"/>
                <w:sz w:val="16"/>
              </w:rPr>
              <w:t>―</w:t>
            </w:r>
          </w:p>
        </w:tc>
      </w:tr>
      <w:tr>
        <w:trPr>
          <w:cantSplit/>
        </w:trPr>
        <w:tc>
          <w:tcPr>
            <w:tcW w:type="dxa" w:w="794"/>
            <w:vAlign w:val="center"/>
          </w:tcPr>
          <w:p>
            <w:pPr>
              <w:spacing w:after="0"/>
              <w:jc w:val="center"/>
            </w:pPr>
            <w:r>
              <w:rPr>
                <w:rFonts w:ascii="游ゴシック" w:hAnsi="游ゴシック" w:eastAsia="游ゴシック"/>
                <w:b w:val="0"/>
                <w:sz w:val="16"/>
              </w:rPr>
              <w:t>No.33</w:t>
            </w:r>
          </w:p>
        </w:tc>
        <w:tc>
          <w:tcPr>
            <w:tcW w:type="dxa" w:w="2608"/>
            <w:vAlign w:val="center"/>
          </w:tcPr>
          <w:p>
            <w:pPr>
              <w:spacing w:after="0"/>
            </w:pPr>
            <w:r>
              <w:rPr>
                <w:rFonts w:ascii="游ゴシック" w:hAnsi="游ゴシック" w:eastAsia="游ゴシック"/>
                <w:b w:val="0"/>
                <w:sz w:val="16"/>
              </w:rPr>
              <w:t>第10期の政令改正の内容（所得段階）</w:t>
            </w:r>
          </w:p>
        </w:tc>
        <w:tc>
          <w:tcPr>
            <w:tcW w:type="dxa" w:w="4649"/>
            <w:vAlign w:val="center"/>
          </w:tcPr>
          <w:p>
            <w:pPr>
              <w:spacing w:after="0"/>
            </w:pPr>
            <w:r>
              <w:rPr>
                <w:rFonts w:ascii="游ゴシック" w:hAnsi="游ゴシック" w:eastAsia="游ゴシック"/>
                <w:b w:val="0"/>
                <w:sz w:val="16"/>
              </w:rPr>
              <w:t>所得段階は第9期の条例による16段階と公費による軽減前の割合を据え置いて算定し、政令の公布後に再算定する旨を明示した</w:t>
            </w:r>
          </w:p>
        </w:tc>
        <w:tc>
          <w:tcPr>
            <w:tcW w:type="dxa" w:w="1701"/>
            <w:vAlign w:val="center"/>
          </w:tcPr>
          <w:p>
            <w:pPr>
              <w:spacing w:after="0"/>
            </w:pPr>
            <w:r>
              <w:rPr>
                <w:rFonts w:ascii="游ゴシック" w:hAnsi="游ゴシック" w:eastAsia="游ゴシック"/>
                <w:b w:val="0"/>
                <w:sz w:val="16"/>
              </w:rPr>
              <w:t>第6章第6節</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No.39</w:t>
            </w:r>
          </w:p>
        </w:tc>
        <w:tc>
          <w:tcPr>
            <w:tcW w:type="dxa" w:w="2608"/>
            <w:shd w:val="clear" w:color="auto" w:fill="F2F5FA"/>
            <w:vAlign w:val="center"/>
          </w:tcPr>
          <w:p>
            <w:pPr>
              <w:spacing w:after="0"/>
            </w:pPr>
            <w:r>
              <w:rPr>
                <w:rFonts w:ascii="游ゴシック" w:hAnsi="游ゴシック" w:eastAsia="游ゴシック"/>
                <w:b w:val="0"/>
                <w:sz w:val="16"/>
              </w:rPr>
              <w:t>中間報告・施策体系新旧対照表・骨子案のご確認</w:t>
            </w:r>
          </w:p>
        </w:tc>
        <w:tc>
          <w:tcPr>
            <w:tcW w:type="dxa" w:w="4649"/>
            <w:shd w:val="clear" w:color="auto" w:fill="F2F5FA"/>
            <w:vAlign w:val="center"/>
          </w:tcPr>
          <w:p>
            <w:pPr>
              <w:spacing w:after="0"/>
            </w:pPr>
            <w:r>
              <w:rPr>
                <w:rFonts w:ascii="游ゴシック" w:hAnsi="游ゴシック" w:eastAsia="游ゴシック"/>
                <w:b w:val="0"/>
                <w:sz w:val="16"/>
              </w:rPr>
              <w:t>代表KPIは第9期計画の目標指標を引き継ぎ、別の指標を新たに起こしていないこと及び改称により第9期の系列と接続しないことを明示した</w:t>
            </w:r>
          </w:p>
        </w:tc>
        <w:tc>
          <w:tcPr>
            <w:tcW w:type="dxa" w:w="1701"/>
            <w:shd w:val="clear" w:color="auto" w:fill="F2F5FA"/>
            <w:vAlign w:val="center"/>
          </w:tcPr>
          <w:p>
            <w:pPr>
              <w:spacing w:after="0"/>
            </w:pPr>
            <w:r>
              <w:rPr>
                <w:rFonts w:ascii="游ゴシック" w:hAnsi="游ゴシック" w:eastAsia="游ゴシック"/>
                <w:b w:val="0"/>
                <w:sz w:val="16"/>
              </w:rPr>
              <w:t>第4章第3節</w:t>
            </w:r>
          </w:p>
        </w:tc>
      </w:tr>
      <w:tr>
        <w:trPr>
          <w:cantSplit/>
        </w:trPr>
        <w:tc>
          <w:tcPr>
            <w:tcW w:type="dxa" w:w="794"/>
            <w:vAlign w:val="center"/>
          </w:tcPr>
          <w:p>
            <w:pPr>
              <w:spacing w:after="0"/>
              <w:jc w:val="center"/>
            </w:pPr>
            <w:r>
              <w:rPr>
                <w:rFonts w:ascii="游ゴシック" w:hAnsi="游ゴシック" w:eastAsia="游ゴシック"/>
                <w:b w:val="0"/>
                <w:sz w:val="16"/>
              </w:rPr>
              <w:t>No.40</w:t>
            </w:r>
          </w:p>
        </w:tc>
        <w:tc>
          <w:tcPr>
            <w:tcW w:type="dxa" w:w="2608"/>
            <w:vAlign w:val="center"/>
          </w:tcPr>
          <w:p>
            <w:pPr>
              <w:spacing w:after="0"/>
            </w:pPr>
            <w:r>
              <w:rPr>
                <w:rFonts w:ascii="游ゴシック" w:hAnsi="游ゴシック" w:eastAsia="游ゴシック"/>
                <w:b w:val="0"/>
                <w:sz w:val="16"/>
              </w:rPr>
              <w:t>社会資源一覧の従業員数の重複計上の扱い</w:t>
            </w:r>
          </w:p>
        </w:tc>
        <w:tc>
          <w:tcPr>
            <w:tcW w:type="dxa" w:w="4649"/>
            <w:vAlign w:val="center"/>
          </w:tcPr>
          <w:p>
            <w:pPr>
              <w:spacing w:after="0"/>
            </w:pPr>
            <w:r>
              <w:rPr>
                <w:rFonts w:ascii="游ゴシック" w:hAnsi="游ゴシック" w:eastAsia="游ゴシック"/>
                <w:b w:val="0"/>
                <w:sz w:val="16"/>
              </w:rPr>
              <w:t>社会資源一覧の従業員数は延べの値となるため、供給の担い手の分析には施設単位の実人数を用いる旨を注に明示した</w:t>
            </w:r>
          </w:p>
        </w:tc>
        <w:tc>
          <w:tcPr>
            <w:tcW w:type="dxa" w:w="1701"/>
            <w:vAlign w:val="center"/>
          </w:tcPr>
          <w:p>
            <w:pPr>
              <w:spacing w:after="0"/>
            </w:pPr>
            <w:r>
              <w:rPr>
                <w:rFonts w:ascii="游ゴシック" w:hAnsi="游ゴシック" w:eastAsia="游ゴシック"/>
                <w:b w:val="0"/>
                <w:sz w:val="16"/>
              </w:rPr>
              <w:t>第2章第3節5</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No.43</w:t>
            </w:r>
          </w:p>
        </w:tc>
        <w:tc>
          <w:tcPr>
            <w:tcW w:type="dxa" w:w="2608"/>
            <w:shd w:val="clear" w:color="auto" w:fill="F2F5FA"/>
            <w:vAlign w:val="center"/>
          </w:tcPr>
          <w:p>
            <w:pPr>
              <w:spacing w:after="0"/>
            </w:pPr>
            <w:r>
              <w:rPr>
                <w:rFonts w:ascii="游ゴシック" w:hAnsi="游ゴシック" w:eastAsia="游ゴシック"/>
                <w:b w:val="0"/>
                <w:sz w:val="16"/>
              </w:rPr>
              <w:t>認定に要する日数の扱い</w:t>
            </w:r>
          </w:p>
        </w:tc>
        <w:tc>
          <w:tcPr>
            <w:tcW w:type="dxa" w:w="4649"/>
            <w:shd w:val="clear" w:color="auto" w:fill="F2F5FA"/>
            <w:vAlign w:val="center"/>
          </w:tcPr>
          <w:p>
            <w:pPr>
              <w:spacing w:after="0"/>
            </w:pPr>
            <w:r>
              <w:rPr>
                <w:rFonts w:ascii="游ゴシック" w:hAnsi="游ゴシック" w:eastAsia="游ゴシック"/>
                <w:b w:val="0"/>
                <w:sz w:val="16"/>
              </w:rPr>
              <w:t>申請から二次判定までの平均所要日数が法定の30日を上回っていることを掲げ、期間の短縮を要介護認定の適正化の取組に加えた</w:t>
            </w:r>
          </w:p>
        </w:tc>
        <w:tc>
          <w:tcPr>
            <w:tcW w:type="dxa" w:w="1701"/>
            <w:shd w:val="clear" w:color="auto" w:fill="F2F5FA"/>
            <w:vAlign w:val="center"/>
          </w:tcPr>
          <w:p>
            <w:pPr>
              <w:spacing w:after="0"/>
            </w:pPr>
            <w:r>
              <w:rPr>
                <w:rFonts w:ascii="游ゴシック" w:hAnsi="游ゴシック" w:eastAsia="游ゴシック"/>
                <w:b w:val="0"/>
                <w:sz w:val="16"/>
              </w:rPr>
              <w:t>第2章第1節3・第5章 基本目標5</w:t>
            </w:r>
          </w:p>
        </w:tc>
      </w:tr>
      <w:tr>
        <w:trPr>
          <w:cantSplit/>
        </w:trPr>
        <w:tc>
          <w:tcPr>
            <w:tcW w:type="dxa" w:w="794"/>
            <w:vAlign w:val="center"/>
          </w:tcPr>
          <w:p>
            <w:pPr>
              <w:spacing w:after="0"/>
              <w:jc w:val="center"/>
            </w:pPr>
            <w:r>
              <w:rPr>
                <w:rFonts w:ascii="游ゴシック" w:hAnsi="游ゴシック" w:eastAsia="游ゴシック"/>
                <w:b w:val="0"/>
                <w:sz w:val="16"/>
              </w:rPr>
              <w:t>No.45</w:t>
            </w:r>
          </w:p>
        </w:tc>
        <w:tc>
          <w:tcPr>
            <w:tcW w:type="dxa" w:w="2608"/>
            <w:vAlign w:val="center"/>
          </w:tcPr>
          <w:p>
            <w:pPr>
              <w:spacing w:after="0"/>
            </w:pPr>
            <w:r>
              <w:rPr>
                <w:rFonts w:ascii="游ゴシック" w:hAnsi="游ゴシック" w:eastAsia="游ゴシック"/>
                <w:b w:val="0"/>
                <w:sz w:val="16"/>
              </w:rPr>
              <w:t>代表KPI H15の分母の定義</w:t>
            </w:r>
          </w:p>
        </w:tc>
        <w:tc>
          <w:tcPr>
            <w:tcW w:type="dxa" w:w="4649"/>
            <w:vAlign w:val="center"/>
          </w:tcPr>
          <w:p>
            <w:pPr>
              <w:spacing w:after="0"/>
            </w:pPr>
            <w:r>
              <w:rPr>
                <w:rFonts w:ascii="游ゴシック" w:hAnsi="游ゴシック" w:eastAsia="游ゴシック"/>
                <w:b w:val="0"/>
                <w:sz w:val="16"/>
              </w:rPr>
              <w:t>代表KPI H15の分母を計画の標準給付費見込額とし、実績側は介護保険特別会計決算の保険給付費によることとした</w:t>
            </w:r>
          </w:p>
        </w:tc>
        <w:tc>
          <w:tcPr>
            <w:tcW w:type="dxa" w:w="1701"/>
            <w:vAlign w:val="center"/>
          </w:tcPr>
          <w:p>
            <w:pPr>
              <w:spacing w:after="0"/>
            </w:pPr>
            <w:r>
              <w:rPr>
                <w:rFonts w:ascii="游ゴシック" w:hAnsi="游ゴシック" w:eastAsia="游ゴシック"/>
                <w:b w:val="0"/>
                <w:sz w:val="16"/>
              </w:rPr>
              <w:t>第4章第3節・第5章 基本目標5・資料1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No.57</w:t>
            </w:r>
          </w:p>
        </w:tc>
        <w:tc>
          <w:tcPr>
            <w:tcW w:type="dxa" w:w="2608"/>
            <w:shd w:val="clear" w:color="auto" w:fill="F2F5FA"/>
            <w:vAlign w:val="center"/>
          </w:tcPr>
          <w:p>
            <w:pPr>
              <w:spacing w:after="0"/>
            </w:pPr>
            <w:r>
              <w:rPr>
                <w:rFonts w:ascii="游ゴシック" w:hAnsi="游ゴシック" w:eastAsia="游ゴシック"/>
                <w:b w:val="0"/>
                <w:sz w:val="16"/>
              </w:rPr>
              <w:t>計画値を0としたサービスに実績がある2件</w:t>
            </w:r>
          </w:p>
        </w:tc>
        <w:tc>
          <w:tcPr>
            <w:tcW w:type="dxa" w:w="4649"/>
            <w:shd w:val="clear" w:color="auto" w:fill="F2F5FA"/>
            <w:vAlign w:val="center"/>
          </w:tcPr>
          <w:p>
            <w:pPr>
              <w:spacing w:after="0"/>
            </w:pPr>
            <w:r>
              <w:rPr>
                <w:rFonts w:ascii="游ゴシック" w:hAnsi="游ゴシック" w:eastAsia="游ゴシック"/>
                <w:b w:val="0"/>
                <w:sz w:val="16"/>
              </w:rPr>
              <w:t>第9期に計画値を0としていた認知症対応型通所介護は算定値を置き、介護療養型医療施設は計上しないこととした</w:t>
            </w:r>
          </w:p>
        </w:tc>
        <w:tc>
          <w:tcPr>
            <w:tcW w:type="dxa" w:w="1701"/>
            <w:shd w:val="clear" w:color="auto" w:fill="F2F5FA"/>
            <w:vAlign w:val="center"/>
          </w:tcPr>
          <w:p>
            <w:pPr>
              <w:spacing w:after="0"/>
            </w:pPr>
            <w:r>
              <w:rPr>
                <w:rFonts w:ascii="游ゴシック" w:hAnsi="游ゴシック" w:eastAsia="游ゴシック"/>
                <w:b w:val="0"/>
                <w:sz w:val="16"/>
              </w:rPr>
              <w:t>第6章第2節</w:t>
            </w:r>
          </w:p>
        </w:tc>
      </w:tr>
      <w:tr>
        <w:trPr>
          <w:cantSplit/>
        </w:trPr>
        <w:tc>
          <w:tcPr>
            <w:tcW w:type="dxa" w:w="794"/>
            <w:vAlign w:val="center"/>
          </w:tcPr>
          <w:p>
            <w:pPr>
              <w:spacing w:after="0"/>
              <w:jc w:val="center"/>
            </w:pPr>
            <w:r>
              <w:rPr>
                <w:rFonts w:ascii="游ゴシック" w:hAnsi="游ゴシック" w:eastAsia="游ゴシック"/>
                <w:b w:val="0"/>
                <w:sz w:val="16"/>
              </w:rPr>
              <w:t>No.58</w:t>
            </w:r>
          </w:p>
        </w:tc>
        <w:tc>
          <w:tcPr>
            <w:tcW w:type="dxa" w:w="2608"/>
            <w:vAlign w:val="center"/>
          </w:tcPr>
          <w:p>
            <w:pPr>
              <w:spacing w:after="0"/>
            </w:pPr>
            <w:r>
              <w:rPr>
                <w:rFonts w:ascii="游ゴシック" w:hAnsi="游ゴシック" w:eastAsia="游ゴシック"/>
                <w:b w:val="0"/>
                <w:sz w:val="16"/>
              </w:rPr>
              <w:t>定期巡回・随時対応型訪問介護看護の第10期の取扱い</w:t>
            </w:r>
          </w:p>
        </w:tc>
        <w:tc>
          <w:tcPr>
            <w:tcW w:type="dxa" w:w="4649"/>
            <w:vAlign w:val="center"/>
          </w:tcPr>
          <w:p>
            <w:pPr>
              <w:spacing w:after="0"/>
            </w:pPr>
            <w:r>
              <w:rPr>
                <w:rFonts w:ascii="游ゴシック" w:hAnsi="游ゴシック" w:eastAsia="游ゴシック"/>
                <w:b w:val="0"/>
                <w:sz w:val="16"/>
              </w:rPr>
              <w:t>定期巡回・随時対応型訪問介護看護及び看護小規模多機能型居宅介護は自然体の算定値を置き、整備又は事業の実施による上乗せは含めないこととした</w:t>
            </w:r>
          </w:p>
        </w:tc>
        <w:tc>
          <w:tcPr>
            <w:tcW w:type="dxa" w:w="1701"/>
            <w:vAlign w:val="center"/>
          </w:tcPr>
          <w:p>
            <w:pPr>
              <w:spacing w:after="0"/>
            </w:pPr>
            <w:r>
              <w:rPr>
                <w:rFonts w:ascii="游ゴシック" w:hAnsi="游ゴシック" w:eastAsia="游ゴシック"/>
                <w:b w:val="0"/>
                <w:sz w:val="16"/>
              </w:rPr>
              <w:t>第6章第2節・第4節1</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6"/>
              </w:rPr>
              <w:t>No.63</w:t>
            </w:r>
          </w:p>
        </w:tc>
        <w:tc>
          <w:tcPr>
            <w:tcW w:type="dxa" w:w="2608"/>
            <w:shd w:val="clear" w:color="auto" w:fill="F2F5FA"/>
            <w:vAlign w:val="center"/>
          </w:tcPr>
          <w:p>
            <w:pPr>
              <w:spacing w:after="0"/>
            </w:pPr>
            <w:r>
              <w:rPr>
                <w:rFonts w:ascii="游ゴシック" w:hAnsi="游ゴシック" w:eastAsia="游ゴシック"/>
                <w:b w:val="0"/>
                <w:sz w:val="16"/>
              </w:rPr>
              <w:t>人口推計の基礎を総合戦略とするご指示への対応</w:t>
            </w:r>
          </w:p>
        </w:tc>
        <w:tc>
          <w:tcPr>
            <w:tcW w:type="dxa" w:w="4649"/>
            <w:shd w:val="clear" w:color="auto" w:fill="F2F5FA"/>
            <w:vAlign w:val="center"/>
          </w:tcPr>
          <w:p>
            <w:pPr>
              <w:spacing w:after="0"/>
            </w:pPr>
            <w:r>
              <w:rPr>
                <w:rFonts w:ascii="游ゴシック" w:hAnsi="游ゴシック" w:eastAsia="游ゴシック"/>
                <w:b w:val="0"/>
                <w:sz w:val="16"/>
              </w:rPr>
              <w:t>人口の基礎は案C（地方創生総合戦略と住民基本台帳の実績趨勢）のままとし、3町の人口目標を一律に用いられない理由を注に明示した</w:t>
            </w:r>
          </w:p>
        </w:tc>
        <w:tc>
          <w:tcPr>
            <w:tcW w:type="dxa" w:w="1701"/>
            <w:shd w:val="clear" w:color="auto" w:fill="F2F5FA"/>
            <w:vAlign w:val="center"/>
          </w:tcPr>
          <w:p>
            <w:pPr>
              <w:spacing w:after="0"/>
            </w:pPr>
            <w:r>
              <w:rPr>
                <w:rFonts w:ascii="游ゴシック" w:hAnsi="游ゴシック" w:eastAsia="游ゴシック"/>
                <w:b w:val="0"/>
                <w:sz w:val="16"/>
              </w:rPr>
              <w:t>第2章第1節・第6章第1節</w:t>
            </w:r>
          </w:p>
        </w:tc>
      </w:tr>
    </w:tbl>
    <w:p>
      <w:pPr>
        <w:spacing w:after="80"/>
      </w:pPr>
      <w:r>
        <w:rPr>
          <w:rFonts w:ascii="游ゴシック" w:hAnsi="游ゴシック" w:eastAsia="游ゴシック"/>
          <w:b w:val="0"/>
          <w:sz w:val="17"/>
        </w:rPr>
        <w:t>資料：業務工程管理表 03_確認事項一覧、計画素案</w:t>
      </w:r>
    </w:p>
    <w:p>
      <w:pPr>
        <w:keepNext/>
        <w:pageBreakBefore w:val="0"/>
        <w:spacing w:before="28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資料の提供依頼23件のうち、まだ受領していないものが19件あります。うち優先度の高いものが12件です。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