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1F3864"/>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1F3864"/>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施策4-3（在宅医療・介護連携の推進）に反映します。協力医療機関の3つの要件を満たさない施設の把握が求められますが、村内の入所施設は認知症対応型共同生活介護の2事業所（定員27人）のみです（2-5）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spacing w:after="120" w:line="300" w:lineRule="exact"/>
      </w:pPr>
      <w:r>
        <w:rPr>
          <w:rFonts w:ascii="BIZ UDPゴシック" w:cs="BIZ UDPゴシック" w:eastAsia="BIZ UDPゴシック" w:hAnsi="BIZ UDPゴシック"/>
          <w:sz w:val="21"/>
          <w:szCs w:val="21"/>
        </w:rPr>
        <w:t xml:space="preserve">第9期の初年度である令和6年度の保険給付費の決算は278,693千円で、令和5年度（280,366千円）とほぼ同じでした。第9期計画の標準給付費は3か年で939,947千円（年平均約313,316千円）であり、令和6年度の実績はこれを1割ほど下回っています（5-6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編集注記：令和7年度の決算の提供を受けたうえで、第9期全体の乖離を確定します。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50,751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単位：千円（千円未満四捨五入。本計画の他の表と同じ扱い）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5-12）。</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第10期が低く見えるのは、第9期計画の見込みが実績を上回っていたためです（2-9）。</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国の推計ワークシートの算定の係数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入力されている、保険料に効く係数は次のとおりです。いずれも現時点の値であり、第1号被保険者負担割合は政令の制定により、補正係数は国の確定値の提示により定まります（6-5・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ワークシートでは第9期と同じ23%が置かれています（第11期24%・第12期25%・第14期26%・第16期27%・第17期28%の仮置値が参考として示されています）。本村では1ポイントで月額約294円であるため、23%のままであれば第10期の保険料の上昇要因にはな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6-5）。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では23%（第9期と同じ）が置かれています。正式には政令で定まります（6-5）。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1F3864"/>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評価の対象となり得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1,405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当方の検算は令和5年度決算21,517千円を3か年据え置き（令和6年度決算は19,847千円）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当方の検算は令和5年度決算39,886千円×3年（令和6年度決算は39,865千円）。国の推計ワークシートは令和9年度47,686千円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令和7年度決算と村のご判断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介護給付費準備基金の令和8年度末の見込額（42,128,183円）の根拠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令和6年度末の決算は20,461,007円。令和7・8年度の積立ての予定額が分からない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令和5年度決算16,463千円で代用（令和6年度決算は15,343千円）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と、それに沿った実施・記録により取得をめざせ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と実施で取得をめざせ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評価の対象となり得る5点（全国該当率42.8%のため上の32項目には含まれません）を加えた67点が上表の取得目標にあたり、447点は514点になります。本業務の実施で取得をめざせ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rFonts w:ascii="BIZ UDPゴシック" w:cs="BIZ UDPゴシック" w:eastAsia="BIZ UDPゴシック" w:hAnsi="BIZ UDPゴシック"/>
      <w:b/>
      <w:bCs/>
      <w:color w:val="1F3864"/>
      <w:sz w:val="22"/>
      <w:szCs w:val="22"/>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21e8859a9c194a749f644383d221075393e4f464.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07ae10df47ebfbd24bbe27680f0261197d80cf59.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2026-10-24T06:39:46.224Z</dcterms:created>
  <dcterms:modified xsi:type="dcterms:W3CDTF">2026-10-24T06:39:46.232Z</dcterms:modified>
</cp:coreProperties>
</file>

<file path=docProps/custom.xml><?xml version="1.0" encoding="utf-8"?>
<Properties xmlns="http://schemas.openxmlformats.org/officeDocument/2006/custom-properties" xmlns:vt="http://schemas.openxmlformats.org/officeDocument/2006/docPropsVTypes"/>
</file>