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施策4-1（在宅医療・介護連携の推進）に反映します。協力医療機関の3つの要件を満たさない施設の把握が求められますが、村内の入所施設は認知症対応型共同生活介護の2事業所（定員27人）のみです（2-4）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要支援・要介護認定の状況</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アンケート結果による村民の意識</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第10期が低く見えるのは、第9期計画の見込みが実績を上回っていた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-1）。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では23%（第9期と同じ）が置かれています。正式には政令で定まります（6-1）。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1,405円の幅は、第1段階の方にとっても乗率に応じた負担の差となって現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本業務の実施で取得をめざせ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843a564cc2a2488f480cd0fef92e105628479183.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2026-10-24T06:39:56.459Z</dcterms:created>
  <dcterms:modified xsi:type="dcterms:W3CDTF">2026-10-24T06:39:56.459Z</dcterms:modified>
</cp:coreProperties>
</file>

<file path=docProps/custom.xml><?xml version="1.0" encoding="utf-8"?>
<Properties xmlns="http://schemas.openxmlformats.org/officeDocument/2006/custom-properties" xmlns:vt="http://schemas.openxmlformats.org/officeDocument/2006/docPropsVTypes"/>
</file>