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施策4-1（在宅医療・介護連携の推進）に反映します。協力医療機関の3つの要件を満たさない施設の把握が求められますが、村内の入所施設は認知症対応型共同生活介護の2事業所（定員27人）のみです（2-4）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第10期が低く見えるのは、第9期計画の見込みが実績を上回っていたためです。</w:t>
      </w:r>
    </w:p>
    <w:p>
      <w:pPr>
        <w:spacing w:after="120" w:line="300" w:lineRule="exact"/>
      </w:pPr>
      <w:r>
        <w:rPr>
          <w:rFonts w:ascii="BIZ UDPゴシック" w:cs="BIZ UDPゴシック" w:eastAsia="BIZ UDPゴシック" w:hAnsi="BIZ UDPゴシック"/>
          <w:sz w:val="21"/>
          <w:szCs w:val="21"/>
        </w:rPr>
        <w:t xml:space="preserve">■ 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-1）。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1,405円の幅は、第1段階の方にとっても乗率に応じた負担の差となって現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本業務の実施で取得をめざせ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2026-10-24T06:39:58.915Z</dcterms:created>
  <dcterms:modified xsi:type="dcterms:W3CDTF">2026-10-24T06:39:58.916Z</dcterms:modified>
</cp:coreProperties>
</file>

<file path=docProps/custom.xml><?xml version="1.0" encoding="utf-8"?>
<Properties xmlns="http://schemas.openxmlformats.org/officeDocument/2006/custom-properties" xmlns:vt="http://schemas.openxmlformats.org/officeDocument/2006/docPropsVTypes"/>
</file>