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記載で取得をめざせる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本業務で取得をめざせる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をめざせるのが3項目9点です。この2つは本計画の策定とそれに沿った実施・記録により評価の対象となり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です。これに、本計画が認知症施策推進計画を兼ねることにより評価の対象となり得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本業務の実施で取得をめざせる4点を含めると518点です。条件付きで取得をめざせる33点は事業の実施を伴うため、施策1-2（総合事業の多様なサービス）・施策4-4（認知症施策）のご判断と一体で決まります。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評価の対象となり得ます。書くだけでは点になりません。評価は国の該当状況調査への回答と、実施・記録の結果によります。第2回策定委員会でご承認をいただければ、素案6-3の取得目標として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2026-10-24T06:41:27.194Z</dcterms:created>
  <dcterms:modified xsi:type="dcterms:W3CDTF">2026-10-24T06:41:27.194Z</dcterms:modified>
</cp:coreProperties>
</file>

<file path=docProps/custom.xml><?xml version="1.0" encoding="utf-8"?>
<Properties xmlns="http://schemas.openxmlformats.org/officeDocument/2006/custom-properties" xmlns:vt="http://schemas.openxmlformats.org/officeDocument/2006/docPropsVTypes"/>
</file>